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left"/>
        <w:rPr>
          <w:rFonts w:hint="default" w:eastAsia="黑体"/>
          <w:sz w:val="52"/>
          <w:szCs w:val="52"/>
          <w:lang w:val="en-US" w:eastAsia="zh-CN"/>
        </w:rPr>
      </w:pPr>
      <w:r>
        <w:rPr>
          <w:rFonts w:hint="eastAsia" w:eastAsia="黑体"/>
          <w:sz w:val="32"/>
          <w:szCs w:val="32"/>
          <w:lang w:val="en-US" w:eastAsia="zh-CN"/>
        </w:rPr>
        <w:t>项目编号：HFCTZB-2019021</w:t>
      </w:r>
    </w:p>
    <w:p>
      <w:pPr>
        <w:spacing w:line="800" w:lineRule="exact"/>
        <w:jc w:val="center"/>
        <w:rPr>
          <w:rFonts w:hint="eastAsia" w:eastAsia="黑体"/>
          <w:sz w:val="52"/>
          <w:szCs w:val="52"/>
        </w:rPr>
      </w:pPr>
    </w:p>
    <w:p>
      <w:pPr>
        <w:spacing w:line="800" w:lineRule="exact"/>
        <w:jc w:val="center"/>
        <w:rPr>
          <w:rFonts w:hint="eastAsia" w:eastAsia="黑体"/>
          <w:sz w:val="52"/>
          <w:szCs w:val="52"/>
        </w:rPr>
      </w:pPr>
      <w:r>
        <w:rPr>
          <w:rFonts w:hint="eastAsia" w:eastAsia="黑体"/>
          <w:sz w:val="52"/>
          <w:szCs w:val="52"/>
        </w:rPr>
        <w:t>合肥市产业投资控股（集团）有限公司</w:t>
      </w:r>
      <w:r>
        <w:rPr>
          <w:rFonts w:hint="eastAsia" w:eastAsia="黑体"/>
          <w:sz w:val="52"/>
          <w:szCs w:val="52"/>
          <w:lang w:val="en-US" w:eastAsia="zh-CN"/>
        </w:rPr>
        <w:t>第二期海外债</w:t>
      </w:r>
      <w:r>
        <w:rPr>
          <w:rFonts w:hint="eastAsia" w:eastAsia="黑体"/>
          <w:sz w:val="52"/>
          <w:szCs w:val="52"/>
        </w:rPr>
        <w:t>发行承销</w:t>
      </w:r>
    </w:p>
    <w:p>
      <w:pPr>
        <w:spacing w:line="800" w:lineRule="exact"/>
        <w:jc w:val="center"/>
        <w:rPr>
          <w:rFonts w:eastAsia="黑体"/>
          <w:sz w:val="52"/>
          <w:szCs w:val="52"/>
        </w:rPr>
      </w:pPr>
      <w:r>
        <w:rPr>
          <w:rFonts w:hint="eastAsia" w:eastAsia="黑体"/>
          <w:sz w:val="52"/>
          <w:szCs w:val="52"/>
        </w:rPr>
        <w:t>服务项目</w:t>
      </w:r>
    </w:p>
    <w:p>
      <w:pPr>
        <w:pStyle w:val="18"/>
        <w:tabs>
          <w:tab w:val="left" w:pos="5520"/>
        </w:tabs>
        <w:spacing w:line="800" w:lineRule="exact"/>
        <w:jc w:val="center"/>
        <w:rPr>
          <w:rFonts w:ascii="Times New Roman" w:hAnsi="Times New Roman" w:eastAsia="隶书" w:cs="Times New Roman"/>
          <w:sz w:val="56"/>
          <w:szCs w:val="44"/>
        </w:rPr>
      </w:pPr>
    </w:p>
    <w:p>
      <w:pPr>
        <w:pStyle w:val="18"/>
        <w:spacing w:line="800" w:lineRule="exact"/>
        <w:rPr>
          <w:rFonts w:ascii="Times New Roman" w:hAnsi="Times New Roman" w:cs="Times New Roman"/>
          <w:b/>
          <w:bCs/>
        </w:rPr>
      </w:pPr>
    </w:p>
    <w:p>
      <w:pPr>
        <w:pStyle w:val="18"/>
        <w:jc w:val="center"/>
        <w:rPr>
          <w:rFonts w:ascii="Times New Roman" w:hAnsi="Times New Roman" w:eastAsia="黑体" w:cs="Times New Roman"/>
          <w:b/>
          <w:bCs/>
          <w:sz w:val="48"/>
        </w:rPr>
      </w:pPr>
      <w:r>
        <w:rPr>
          <w:rFonts w:ascii="Times New Roman" w:hAnsi="Times New Roman" w:eastAsia="黑体" w:cs="Times New Roman"/>
          <w:b/>
          <w:bCs/>
          <w:sz w:val="120"/>
        </w:rPr>
        <w:t>招 标 文 件</w:t>
      </w:r>
    </w:p>
    <w:p>
      <w:pPr>
        <w:pStyle w:val="18"/>
        <w:jc w:val="center"/>
        <w:rPr>
          <w:rFonts w:ascii="Times New Roman" w:hAnsi="Times New Roman" w:cs="Times New Roman"/>
          <w:b/>
          <w:bCs/>
          <w:sz w:val="28"/>
          <w:szCs w:val="28"/>
        </w:rPr>
      </w:pPr>
    </w:p>
    <w:p>
      <w:pPr>
        <w:pStyle w:val="18"/>
        <w:rPr>
          <w:rFonts w:ascii="Times New Roman" w:hAnsi="Times New Roman" w:cs="Times New Roman"/>
          <w:b/>
          <w:bCs/>
          <w:sz w:val="28"/>
          <w:szCs w:val="28"/>
        </w:rPr>
      </w:pPr>
    </w:p>
    <w:p>
      <w:pPr>
        <w:pStyle w:val="18"/>
        <w:rPr>
          <w:rFonts w:ascii="Times New Roman" w:hAnsi="Times New Roman" w:cs="Times New Roman"/>
          <w:bCs/>
        </w:rPr>
      </w:pPr>
    </w:p>
    <w:p>
      <w:pPr>
        <w:pStyle w:val="18"/>
        <w:rPr>
          <w:rFonts w:ascii="Times New Roman" w:hAnsi="Times New Roman" w:cs="Times New Roman"/>
          <w:bCs/>
        </w:rPr>
      </w:pPr>
    </w:p>
    <w:p>
      <w:pPr>
        <w:pStyle w:val="18"/>
        <w:rPr>
          <w:rFonts w:ascii="Times New Roman" w:hAnsi="Times New Roman" w:cs="Times New Roman"/>
          <w:bCs/>
        </w:rPr>
      </w:pPr>
    </w:p>
    <w:p>
      <w:pPr>
        <w:spacing w:line="0" w:lineRule="atLeast"/>
        <w:jc w:val="center"/>
        <w:rPr>
          <w:rFonts w:eastAsia="黑体"/>
          <w:sz w:val="30"/>
          <w:szCs w:val="36"/>
        </w:rPr>
      </w:pPr>
    </w:p>
    <w:p>
      <w:pPr>
        <w:spacing w:line="360" w:lineRule="auto"/>
        <w:jc w:val="center"/>
        <w:rPr>
          <w:rFonts w:eastAsia="黑体"/>
          <w:sz w:val="36"/>
          <w:szCs w:val="36"/>
        </w:rPr>
      </w:pPr>
      <w:r>
        <w:rPr>
          <w:rFonts w:hint="eastAsia" w:eastAsia="黑体"/>
          <w:sz w:val="36"/>
          <w:szCs w:val="36"/>
        </w:rPr>
        <w:t>合肥市产业投资控股（集团）有限公司</w:t>
      </w:r>
    </w:p>
    <w:p>
      <w:pPr>
        <w:spacing w:line="360" w:lineRule="auto"/>
        <w:jc w:val="center"/>
        <w:rPr>
          <w:rFonts w:eastAsia="方正小标宋简体"/>
          <w:sz w:val="44"/>
          <w:szCs w:val="44"/>
        </w:rPr>
        <w:sectPr>
          <w:headerReference r:id="rId4" w:type="first"/>
          <w:footerReference r:id="rId5" w:type="first"/>
          <w:headerReference r:id="rId3" w:type="default"/>
          <w:pgSz w:w="11906" w:h="16838"/>
          <w:pgMar w:top="1418" w:right="1418" w:bottom="1418" w:left="1644" w:header="851" w:footer="992" w:gutter="0"/>
          <w:pgNumType w:start="1"/>
          <w:cols w:space="720" w:num="1"/>
          <w:docGrid w:linePitch="312" w:charSpace="0"/>
        </w:sectPr>
      </w:pPr>
      <w:r>
        <w:rPr>
          <w:rFonts w:eastAsia="黑体"/>
          <w:sz w:val="36"/>
          <w:szCs w:val="36"/>
        </w:rPr>
        <w:t>二〇一</w:t>
      </w:r>
      <w:r>
        <w:rPr>
          <w:rFonts w:hint="eastAsia" w:eastAsia="黑体"/>
          <w:sz w:val="36"/>
          <w:szCs w:val="36"/>
        </w:rPr>
        <w:t>九</w:t>
      </w:r>
      <w:r>
        <w:rPr>
          <w:rFonts w:eastAsia="黑体"/>
          <w:sz w:val="36"/>
          <w:szCs w:val="36"/>
        </w:rPr>
        <w:t>年</w:t>
      </w:r>
      <w:r>
        <w:rPr>
          <w:rFonts w:hint="eastAsia" w:eastAsia="黑体"/>
          <w:sz w:val="36"/>
          <w:szCs w:val="36"/>
        </w:rPr>
        <w:t>十</w:t>
      </w:r>
      <w:r>
        <w:rPr>
          <w:rFonts w:hint="eastAsia" w:eastAsia="黑体"/>
          <w:sz w:val="36"/>
          <w:szCs w:val="36"/>
          <w:lang w:val="en-US" w:eastAsia="zh-CN"/>
        </w:rPr>
        <w:t>二</w:t>
      </w:r>
      <w:r>
        <w:rPr>
          <w:rFonts w:eastAsia="黑体"/>
          <w:sz w:val="36"/>
          <w:szCs w:val="36"/>
        </w:rPr>
        <w:t>月</w:t>
      </w:r>
    </w:p>
    <w:p>
      <w:pPr>
        <w:pStyle w:val="7"/>
        <w:tabs>
          <w:tab w:val="right" w:leader="dot" w:pos="8787"/>
        </w:tabs>
        <w:jc w:val="both"/>
        <w:rPr>
          <w:rFonts w:hint="eastAsia" w:ascii="黑体" w:hAnsi="黑体" w:eastAsia="黑体" w:cs="黑体"/>
          <w:sz w:val="40"/>
          <w:szCs w:val="40"/>
          <w:lang w:val="en-US" w:eastAsia="zh-CN"/>
        </w:rPr>
      </w:pPr>
    </w:p>
    <w:p>
      <w:pPr>
        <w:pStyle w:val="7"/>
        <w:tabs>
          <w:tab w:val="right" w:leader="dot" w:pos="8787"/>
        </w:tabs>
        <w:jc w:val="center"/>
        <w:rPr>
          <w:rFonts w:hint="eastAsia" w:ascii="黑体" w:hAnsi="黑体" w:eastAsia="黑体" w:cs="黑体"/>
          <w:sz w:val="40"/>
          <w:szCs w:val="40"/>
          <w:lang w:val="en-US" w:eastAsia="zh-CN"/>
        </w:rPr>
      </w:pPr>
    </w:p>
    <w:p>
      <w:pPr>
        <w:pStyle w:val="7"/>
        <w:tabs>
          <w:tab w:val="right" w:leader="dot" w:pos="8787"/>
        </w:tabs>
        <w:jc w:val="center"/>
        <w:rPr>
          <w:rFonts w:hint="default" w:ascii="黑体" w:hAnsi="黑体" w:eastAsia="黑体" w:cs="黑体"/>
          <w:sz w:val="40"/>
          <w:szCs w:val="40"/>
          <w:lang w:val="en-US" w:eastAsia="zh-CN"/>
        </w:rPr>
      </w:pPr>
      <w:r>
        <w:rPr>
          <w:rFonts w:hint="eastAsia" w:ascii="黑体" w:hAnsi="黑体" w:eastAsia="黑体" w:cs="黑体"/>
          <w:sz w:val="40"/>
          <w:szCs w:val="40"/>
          <w:lang w:val="en-US" w:eastAsia="zh-CN"/>
        </w:rPr>
        <w:t>目  录</w:t>
      </w:r>
    </w:p>
    <w:p>
      <w:pPr>
        <w:pStyle w:val="7"/>
        <w:tabs>
          <w:tab w:val="right" w:leader="dot" w:pos="8787"/>
        </w:tabs>
        <w:rPr>
          <w:rFonts w:hint="eastAsia" w:ascii="黑体" w:hAnsi="黑体" w:eastAsia="黑体" w:cs="黑体"/>
          <w:sz w:val="40"/>
          <w:szCs w:val="40"/>
          <w:lang w:val="en-US" w:eastAsia="zh-CN"/>
        </w:rPr>
      </w:pPr>
    </w:p>
    <w:p>
      <w:pPr>
        <w:pStyle w:val="7"/>
        <w:tabs>
          <w:tab w:val="right" w:leader="dot" w:pos="8787"/>
        </w:tabs>
        <w:rPr>
          <w:sz w:val="28"/>
          <w:szCs w:val="28"/>
        </w:rPr>
      </w:pPr>
      <w:r>
        <w:rPr>
          <w:rFonts w:hint="eastAsia" w:ascii="黑体" w:hAnsi="黑体" w:eastAsia="黑体" w:cs="黑体"/>
          <w:sz w:val="40"/>
          <w:szCs w:val="40"/>
          <w:lang w:val="en-US" w:eastAsia="zh-CN"/>
        </w:rPr>
        <w:fldChar w:fldCharType="begin"/>
      </w:r>
      <w:r>
        <w:rPr>
          <w:rFonts w:hint="eastAsia" w:ascii="黑体" w:hAnsi="黑体" w:eastAsia="黑体" w:cs="黑体"/>
          <w:sz w:val="40"/>
          <w:szCs w:val="40"/>
          <w:lang w:val="en-US" w:eastAsia="zh-CN"/>
        </w:rPr>
        <w:instrText xml:space="preserve">TOC \o "1-1" \h \u </w:instrText>
      </w:r>
      <w:r>
        <w:rPr>
          <w:rFonts w:hint="eastAsia" w:ascii="黑体" w:hAnsi="黑体" w:eastAsia="黑体" w:cs="黑体"/>
          <w:sz w:val="40"/>
          <w:szCs w:val="40"/>
          <w:lang w:val="en-US" w:eastAsia="zh-CN"/>
        </w:rPr>
        <w:fldChar w:fldCharType="separate"/>
      </w:r>
      <w:r>
        <w:rPr>
          <w:rFonts w:hint="eastAsia" w:ascii="黑体" w:hAnsi="黑体" w:eastAsia="黑体" w:cs="黑体"/>
          <w:sz w:val="28"/>
          <w:szCs w:val="48"/>
          <w:lang w:val="en-US" w:eastAsia="zh-CN"/>
        </w:rPr>
        <w:fldChar w:fldCharType="begin"/>
      </w:r>
      <w:r>
        <w:rPr>
          <w:rFonts w:hint="eastAsia" w:ascii="黑体" w:hAnsi="黑体" w:eastAsia="黑体" w:cs="黑体"/>
          <w:sz w:val="28"/>
          <w:szCs w:val="48"/>
          <w:lang w:val="en-US" w:eastAsia="zh-CN"/>
        </w:rPr>
        <w:instrText xml:space="preserve"> HYPERLINK \l _Toc8646 </w:instrText>
      </w:r>
      <w:r>
        <w:rPr>
          <w:rFonts w:hint="eastAsia" w:ascii="黑体" w:hAnsi="黑体" w:eastAsia="黑体" w:cs="黑体"/>
          <w:sz w:val="28"/>
          <w:szCs w:val="48"/>
          <w:lang w:val="en-US" w:eastAsia="zh-CN"/>
        </w:rPr>
        <w:fldChar w:fldCharType="separate"/>
      </w:r>
      <w:r>
        <w:rPr>
          <w:rFonts w:hint="eastAsia" w:ascii="黑体" w:hAnsi="黑体" w:eastAsia="黑体" w:cs="黑体"/>
          <w:sz w:val="28"/>
          <w:szCs w:val="40"/>
          <w:lang w:val="en-US" w:eastAsia="zh-CN"/>
        </w:rPr>
        <w:t>第一章  招标公告</w:t>
      </w:r>
      <w:r>
        <w:rPr>
          <w:sz w:val="28"/>
          <w:szCs w:val="28"/>
        </w:rPr>
        <w:tab/>
      </w:r>
      <w:r>
        <w:rPr>
          <w:rFonts w:hint="eastAsia"/>
          <w:sz w:val="28"/>
          <w:szCs w:val="28"/>
          <w:lang w:val="en-US" w:eastAsia="zh-CN"/>
        </w:rPr>
        <w:t>1</w:t>
      </w:r>
      <w:r>
        <w:rPr>
          <w:rFonts w:hint="eastAsia" w:ascii="黑体" w:hAnsi="黑体" w:eastAsia="黑体" w:cs="黑体"/>
          <w:sz w:val="28"/>
          <w:szCs w:val="48"/>
          <w:lang w:val="en-US" w:eastAsia="zh-CN"/>
        </w:rPr>
        <w:fldChar w:fldCharType="end"/>
      </w:r>
    </w:p>
    <w:p>
      <w:pPr>
        <w:pStyle w:val="7"/>
        <w:tabs>
          <w:tab w:val="right" w:leader="dot" w:pos="8787"/>
        </w:tabs>
        <w:rPr>
          <w:sz w:val="28"/>
          <w:szCs w:val="28"/>
        </w:rPr>
      </w:pPr>
      <w:r>
        <w:rPr>
          <w:rFonts w:hint="eastAsia" w:ascii="黑体" w:hAnsi="黑体" w:eastAsia="黑体" w:cs="黑体"/>
          <w:sz w:val="28"/>
          <w:szCs w:val="48"/>
          <w:lang w:val="en-US" w:eastAsia="zh-CN"/>
        </w:rPr>
        <w:fldChar w:fldCharType="begin"/>
      </w:r>
      <w:r>
        <w:rPr>
          <w:rFonts w:hint="eastAsia" w:ascii="黑体" w:hAnsi="黑体" w:eastAsia="黑体" w:cs="黑体"/>
          <w:sz w:val="28"/>
          <w:szCs w:val="48"/>
          <w:lang w:val="en-US" w:eastAsia="zh-CN"/>
        </w:rPr>
        <w:instrText xml:space="preserve"> HYPERLINK \l _Toc13397 </w:instrText>
      </w:r>
      <w:r>
        <w:rPr>
          <w:rFonts w:hint="eastAsia" w:ascii="黑体" w:hAnsi="黑体" w:eastAsia="黑体" w:cs="黑体"/>
          <w:sz w:val="28"/>
          <w:szCs w:val="48"/>
          <w:lang w:val="en-US" w:eastAsia="zh-CN"/>
        </w:rPr>
        <w:fldChar w:fldCharType="separate"/>
      </w:r>
      <w:r>
        <w:rPr>
          <w:rFonts w:hint="eastAsia" w:ascii="黑体" w:hAnsi="黑体" w:eastAsia="黑体" w:cs="黑体"/>
          <w:sz w:val="28"/>
          <w:szCs w:val="40"/>
          <w:lang w:val="en-US" w:eastAsia="zh-CN"/>
        </w:rPr>
        <w:t>第二章  投标人须知</w:t>
      </w:r>
      <w:r>
        <w:rPr>
          <w:sz w:val="28"/>
          <w:szCs w:val="28"/>
        </w:rPr>
        <w:tab/>
      </w:r>
      <w:r>
        <w:rPr>
          <w:rFonts w:hint="eastAsia"/>
          <w:sz w:val="28"/>
          <w:szCs w:val="28"/>
          <w:lang w:val="en-US" w:eastAsia="zh-CN"/>
        </w:rPr>
        <w:t>5</w:t>
      </w:r>
      <w:r>
        <w:rPr>
          <w:rFonts w:hint="eastAsia" w:ascii="黑体" w:hAnsi="黑体" w:eastAsia="黑体" w:cs="黑体"/>
          <w:sz w:val="28"/>
          <w:szCs w:val="48"/>
          <w:lang w:val="en-US" w:eastAsia="zh-CN"/>
        </w:rPr>
        <w:fldChar w:fldCharType="end"/>
      </w:r>
    </w:p>
    <w:p>
      <w:pPr>
        <w:pStyle w:val="7"/>
        <w:tabs>
          <w:tab w:val="right" w:leader="dot" w:pos="8787"/>
        </w:tabs>
        <w:rPr>
          <w:sz w:val="28"/>
          <w:szCs w:val="28"/>
        </w:rPr>
      </w:pPr>
      <w:r>
        <w:rPr>
          <w:rFonts w:hint="eastAsia" w:ascii="黑体" w:hAnsi="黑体" w:eastAsia="黑体" w:cs="黑体"/>
          <w:sz w:val="28"/>
          <w:szCs w:val="48"/>
          <w:lang w:val="en-US" w:eastAsia="zh-CN"/>
        </w:rPr>
        <w:fldChar w:fldCharType="begin"/>
      </w:r>
      <w:r>
        <w:rPr>
          <w:rFonts w:hint="eastAsia" w:ascii="黑体" w:hAnsi="黑体" w:eastAsia="黑体" w:cs="黑体"/>
          <w:sz w:val="28"/>
          <w:szCs w:val="48"/>
          <w:lang w:val="en-US" w:eastAsia="zh-CN"/>
        </w:rPr>
        <w:instrText xml:space="preserve"> HYPERLINK \l _Toc22352 </w:instrText>
      </w:r>
      <w:r>
        <w:rPr>
          <w:rFonts w:hint="eastAsia" w:ascii="黑体" w:hAnsi="黑体" w:eastAsia="黑体" w:cs="黑体"/>
          <w:sz w:val="28"/>
          <w:szCs w:val="48"/>
          <w:lang w:val="en-US" w:eastAsia="zh-CN"/>
        </w:rPr>
        <w:fldChar w:fldCharType="separate"/>
      </w:r>
      <w:r>
        <w:rPr>
          <w:rFonts w:hint="eastAsia" w:ascii="黑体" w:hAnsi="黑体" w:eastAsia="黑体" w:cs="黑体"/>
          <w:sz w:val="28"/>
          <w:szCs w:val="40"/>
          <w:lang w:val="en-US" w:eastAsia="zh-CN"/>
        </w:rPr>
        <w:t>第三章  招标服务内容及要求</w:t>
      </w:r>
      <w:r>
        <w:rPr>
          <w:sz w:val="28"/>
          <w:szCs w:val="28"/>
        </w:rPr>
        <w:tab/>
      </w:r>
      <w:r>
        <w:rPr>
          <w:rFonts w:hint="eastAsia"/>
          <w:sz w:val="28"/>
          <w:szCs w:val="28"/>
          <w:lang w:val="en-US" w:eastAsia="zh-CN"/>
        </w:rPr>
        <w:t>8</w:t>
      </w:r>
      <w:r>
        <w:rPr>
          <w:rFonts w:hint="eastAsia" w:ascii="黑体" w:hAnsi="黑体" w:eastAsia="黑体" w:cs="黑体"/>
          <w:sz w:val="28"/>
          <w:szCs w:val="48"/>
          <w:lang w:val="en-US" w:eastAsia="zh-CN"/>
        </w:rPr>
        <w:fldChar w:fldCharType="end"/>
      </w:r>
    </w:p>
    <w:p>
      <w:pPr>
        <w:pStyle w:val="7"/>
        <w:tabs>
          <w:tab w:val="right" w:leader="dot" w:pos="8787"/>
        </w:tabs>
        <w:rPr>
          <w:sz w:val="28"/>
          <w:szCs w:val="28"/>
        </w:rPr>
      </w:pPr>
      <w:r>
        <w:rPr>
          <w:rFonts w:hint="eastAsia" w:ascii="黑体" w:hAnsi="黑体" w:eastAsia="黑体" w:cs="黑体"/>
          <w:sz w:val="28"/>
          <w:szCs w:val="48"/>
          <w:lang w:val="en-US" w:eastAsia="zh-CN"/>
        </w:rPr>
        <w:fldChar w:fldCharType="begin"/>
      </w:r>
      <w:r>
        <w:rPr>
          <w:rFonts w:hint="eastAsia" w:ascii="黑体" w:hAnsi="黑体" w:eastAsia="黑体" w:cs="黑体"/>
          <w:sz w:val="28"/>
          <w:szCs w:val="48"/>
          <w:lang w:val="en-US" w:eastAsia="zh-CN"/>
        </w:rPr>
        <w:instrText xml:space="preserve"> HYPERLINK \l _Toc16283 </w:instrText>
      </w:r>
      <w:r>
        <w:rPr>
          <w:rFonts w:hint="eastAsia" w:ascii="黑体" w:hAnsi="黑体" w:eastAsia="黑体" w:cs="黑体"/>
          <w:sz w:val="28"/>
          <w:szCs w:val="48"/>
          <w:lang w:val="en-US" w:eastAsia="zh-CN"/>
        </w:rPr>
        <w:fldChar w:fldCharType="separate"/>
      </w:r>
      <w:r>
        <w:rPr>
          <w:rFonts w:hint="eastAsia" w:ascii="黑体" w:hAnsi="黑体" w:eastAsia="黑体" w:cs="黑体"/>
          <w:sz w:val="28"/>
          <w:szCs w:val="40"/>
          <w:lang w:val="en-US" w:eastAsia="zh-CN"/>
        </w:rPr>
        <w:t>第四章  评标办法</w:t>
      </w:r>
      <w:r>
        <w:rPr>
          <w:sz w:val="28"/>
          <w:szCs w:val="28"/>
        </w:rPr>
        <w:tab/>
      </w:r>
      <w:r>
        <w:rPr>
          <w:sz w:val="28"/>
          <w:szCs w:val="28"/>
        </w:rPr>
        <w:fldChar w:fldCharType="begin"/>
      </w:r>
      <w:r>
        <w:rPr>
          <w:sz w:val="28"/>
          <w:szCs w:val="28"/>
        </w:rPr>
        <w:instrText xml:space="preserve"> PAGEREF _Toc16283 </w:instrText>
      </w:r>
      <w:r>
        <w:rPr>
          <w:sz w:val="28"/>
          <w:szCs w:val="28"/>
        </w:rPr>
        <w:fldChar w:fldCharType="separate"/>
      </w:r>
      <w:r>
        <w:rPr>
          <w:sz w:val="28"/>
          <w:szCs w:val="28"/>
        </w:rPr>
        <w:t>10</w:t>
      </w:r>
      <w:r>
        <w:rPr>
          <w:sz w:val="28"/>
          <w:szCs w:val="28"/>
        </w:rPr>
        <w:fldChar w:fldCharType="end"/>
      </w:r>
      <w:r>
        <w:rPr>
          <w:rFonts w:hint="eastAsia" w:ascii="黑体" w:hAnsi="黑体" w:eastAsia="黑体" w:cs="黑体"/>
          <w:sz w:val="28"/>
          <w:szCs w:val="48"/>
          <w:lang w:val="en-US" w:eastAsia="zh-CN"/>
        </w:rPr>
        <w:fldChar w:fldCharType="end"/>
      </w:r>
    </w:p>
    <w:p>
      <w:pPr>
        <w:pStyle w:val="7"/>
        <w:tabs>
          <w:tab w:val="right" w:leader="dot" w:pos="8787"/>
        </w:tabs>
      </w:pPr>
      <w:r>
        <w:rPr>
          <w:rFonts w:hint="eastAsia" w:ascii="黑体" w:hAnsi="黑体" w:eastAsia="黑体" w:cs="黑体"/>
          <w:sz w:val="28"/>
          <w:szCs w:val="48"/>
          <w:lang w:val="en-US" w:eastAsia="zh-CN"/>
        </w:rPr>
        <w:fldChar w:fldCharType="begin"/>
      </w:r>
      <w:r>
        <w:rPr>
          <w:rFonts w:hint="eastAsia" w:ascii="黑体" w:hAnsi="黑体" w:eastAsia="黑体" w:cs="黑体"/>
          <w:sz w:val="28"/>
          <w:szCs w:val="48"/>
          <w:lang w:val="en-US" w:eastAsia="zh-CN"/>
        </w:rPr>
        <w:instrText xml:space="preserve"> HYPERLINK \l _Toc12148 </w:instrText>
      </w:r>
      <w:r>
        <w:rPr>
          <w:rFonts w:hint="eastAsia" w:ascii="黑体" w:hAnsi="黑体" w:eastAsia="黑体" w:cs="黑体"/>
          <w:sz w:val="28"/>
          <w:szCs w:val="48"/>
          <w:lang w:val="en-US" w:eastAsia="zh-CN"/>
        </w:rPr>
        <w:fldChar w:fldCharType="separate"/>
      </w:r>
      <w:r>
        <w:rPr>
          <w:rFonts w:hint="eastAsia" w:ascii="黑体" w:hAnsi="黑体" w:eastAsia="黑体" w:cs="黑体"/>
          <w:sz w:val="28"/>
          <w:szCs w:val="40"/>
          <w:lang w:val="en-US" w:eastAsia="zh-CN"/>
        </w:rPr>
        <w:t>第五章  投标文件格式</w:t>
      </w:r>
      <w:r>
        <w:rPr>
          <w:sz w:val="28"/>
          <w:szCs w:val="28"/>
        </w:rPr>
        <w:tab/>
      </w:r>
      <w:r>
        <w:rPr>
          <w:sz w:val="28"/>
          <w:szCs w:val="28"/>
        </w:rPr>
        <w:fldChar w:fldCharType="begin"/>
      </w:r>
      <w:r>
        <w:rPr>
          <w:sz w:val="28"/>
          <w:szCs w:val="28"/>
        </w:rPr>
        <w:instrText xml:space="preserve"> PAGEREF _Toc12148 </w:instrText>
      </w:r>
      <w:r>
        <w:rPr>
          <w:sz w:val="28"/>
          <w:szCs w:val="28"/>
        </w:rPr>
        <w:fldChar w:fldCharType="separate"/>
      </w:r>
      <w:r>
        <w:rPr>
          <w:sz w:val="28"/>
          <w:szCs w:val="28"/>
        </w:rPr>
        <w:t>13</w:t>
      </w:r>
      <w:r>
        <w:rPr>
          <w:sz w:val="28"/>
          <w:szCs w:val="28"/>
        </w:rPr>
        <w:fldChar w:fldCharType="end"/>
      </w:r>
      <w:r>
        <w:rPr>
          <w:rFonts w:hint="eastAsia" w:ascii="黑体" w:hAnsi="黑体" w:eastAsia="黑体" w:cs="黑体"/>
          <w:sz w:val="28"/>
          <w:szCs w:val="48"/>
          <w:lang w:val="en-US" w:eastAsia="zh-CN"/>
        </w:rPr>
        <w:fldChar w:fldCharType="end"/>
      </w:r>
    </w:p>
    <w:p>
      <w:pPr>
        <w:rPr>
          <w:rFonts w:hint="eastAsia" w:ascii="黑体" w:hAnsi="黑体" w:eastAsia="黑体" w:cs="黑体"/>
          <w:sz w:val="40"/>
          <w:szCs w:val="40"/>
          <w:lang w:val="en-US" w:eastAsia="zh-CN"/>
        </w:rPr>
      </w:pPr>
      <w:r>
        <w:rPr>
          <w:rFonts w:hint="eastAsia" w:ascii="黑体" w:hAnsi="黑体" w:eastAsia="黑体" w:cs="黑体"/>
          <w:szCs w:val="40"/>
          <w:lang w:val="en-US" w:eastAsia="zh-CN"/>
        </w:rPr>
        <w:fldChar w:fldCharType="end"/>
      </w:r>
    </w:p>
    <w:p>
      <w:pPr>
        <w:jc w:val="center"/>
        <w:rPr>
          <w:rFonts w:hint="eastAsia" w:ascii="黑体" w:hAnsi="黑体" w:eastAsia="黑体" w:cs="黑体"/>
          <w:sz w:val="40"/>
          <w:szCs w:val="40"/>
          <w:lang w:val="en-US" w:eastAsia="zh-CN"/>
        </w:rPr>
        <w:sectPr>
          <w:footnotePr>
            <w:numFmt w:val="decimalEnclosedCircleChinese"/>
            <w:numRestart w:val="eachPage"/>
          </w:footnotePr>
          <w:pgSz w:w="11849" w:h="16781"/>
          <w:pgMar w:top="1418" w:right="1418" w:bottom="1418" w:left="1644" w:header="720" w:footer="720" w:gutter="0"/>
          <w:cols w:space="720" w:num="1"/>
          <w:docGrid w:linePitch="312" w:charSpace="0"/>
        </w:sectPr>
      </w:pPr>
    </w:p>
    <w:p>
      <w:pPr>
        <w:jc w:val="center"/>
        <w:rPr>
          <w:rFonts w:hint="eastAsia" w:ascii="黑体" w:hAnsi="黑体" w:eastAsia="黑体" w:cs="黑体"/>
          <w:sz w:val="40"/>
          <w:szCs w:val="40"/>
          <w:lang w:val="en-US" w:eastAsia="zh-CN"/>
        </w:rPr>
      </w:pPr>
    </w:p>
    <w:p>
      <w:pPr>
        <w:jc w:val="center"/>
        <w:rPr>
          <w:rFonts w:hint="eastAsia" w:ascii="黑体" w:hAnsi="黑体" w:eastAsia="黑体" w:cs="黑体"/>
          <w:sz w:val="40"/>
          <w:szCs w:val="40"/>
          <w:lang w:val="en-US" w:eastAsia="zh-CN"/>
        </w:rPr>
      </w:pPr>
    </w:p>
    <w:p>
      <w:pPr>
        <w:jc w:val="center"/>
        <w:rPr>
          <w:rFonts w:hint="eastAsia" w:ascii="黑体" w:hAnsi="黑体" w:eastAsia="黑体" w:cs="黑体"/>
          <w:sz w:val="40"/>
          <w:szCs w:val="40"/>
          <w:lang w:val="en-US" w:eastAsia="zh-CN"/>
        </w:rPr>
      </w:pPr>
    </w:p>
    <w:p>
      <w:pPr>
        <w:jc w:val="center"/>
        <w:rPr>
          <w:rFonts w:hint="eastAsia" w:ascii="黑体" w:hAnsi="黑体" w:eastAsia="黑体" w:cs="黑体"/>
          <w:sz w:val="40"/>
          <w:szCs w:val="40"/>
          <w:lang w:val="en-US" w:eastAsia="zh-CN"/>
        </w:rPr>
      </w:pPr>
    </w:p>
    <w:p>
      <w:pPr>
        <w:jc w:val="both"/>
        <w:rPr>
          <w:rFonts w:hint="eastAsia" w:ascii="黑体" w:hAnsi="黑体" w:eastAsia="黑体" w:cs="黑体"/>
          <w:sz w:val="40"/>
          <w:szCs w:val="40"/>
          <w:lang w:val="en-US" w:eastAsia="zh-CN"/>
        </w:rPr>
      </w:pPr>
    </w:p>
    <w:p>
      <w:pPr>
        <w:jc w:val="center"/>
        <w:rPr>
          <w:rFonts w:hint="eastAsia" w:ascii="黑体" w:hAnsi="黑体" w:eastAsia="黑体" w:cs="黑体"/>
          <w:sz w:val="40"/>
          <w:szCs w:val="40"/>
          <w:lang w:val="en-US" w:eastAsia="zh-CN"/>
        </w:rPr>
      </w:pPr>
    </w:p>
    <w:p>
      <w:pPr>
        <w:pStyle w:val="2"/>
        <w:bidi w:val="0"/>
        <w:jc w:val="center"/>
        <w:rPr>
          <w:rFonts w:hint="eastAsia" w:ascii="黑体" w:hAnsi="黑体" w:eastAsia="黑体" w:cs="黑体"/>
          <w:sz w:val="56"/>
          <w:szCs w:val="32"/>
          <w:lang w:val="en-US" w:eastAsia="zh-CN"/>
        </w:rPr>
      </w:pPr>
      <w:bookmarkStart w:id="0" w:name="_Toc8646"/>
      <w:r>
        <w:rPr>
          <w:rFonts w:hint="eastAsia" w:ascii="黑体" w:hAnsi="黑体" w:eastAsia="黑体" w:cs="黑体"/>
          <w:sz w:val="56"/>
          <w:szCs w:val="32"/>
          <w:lang w:val="en-US" w:eastAsia="zh-CN"/>
        </w:rPr>
        <w:t>第一章  招标公告</w:t>
      </w:r>
      <w:bookmarkEnd w:id="0"/>
    </w:p>
    <w:p>
      <w:pPr>
        <w:rPr>
          <w:rFonts w:hint="eastAsia" w:ascii="黑体" w:hAnsi="黑体" w:eastAsia="黑体" w:cs="黑体"/>
          <w:sz w:val="40"/>
          <w:szCs w:val="40"/>
        </w:rPr>
      </w:pPr>
      <w:r>
        <w:rPr>
          <w:rFonts w:hint="eastAsia" w:ascii="黑体" w:hAnsi="黑体" w:eastAsia="黑体" w:cs="黑体"/>
          <w:sz w:val="40"/>
          <w:szCs w:val="40"/>
        </w:rPr>
        <w:br w:type="page"/>
      </w:r>
    </w:p>
    <w:p>
      <w:pPr>
        <w:keepNext w:val="0"/>
        <w:keepLines w:val="0"/>
        <w:pageBreakBefore w:val="0"/>
        <w:widowControl/>
        <w:numPr>
          <w:ilvl w:val="0"/>
          <w:numId w:val="1"/>
        </w:numPr>
        <w:kinsoku/>
        <w:wordWrap/>
        <w:overflowPunct/>
        <w:topLinePunct w:val="0"/>
        <w:autoSpaceDE/>
        <w:autoSpaceDN/>
        <w:bidi w:val="0"/>
        <w:adjustRightInd w:val="0"/>
        <w:snapToGrid w:val="0"/>
        <w:spacing w:before="361" w:beforeLines="100" w:after="361" w:afterLines="100" w:line="220" w:lineRule="atLeast"/>
        <w:jc w:val="center"/>
        <w:textAlignment w:val="auto"/>
        <w:rPr>
          <w:rFonts w:hint="eastAsia" w:ascii="黑体" w:hAnsi="黑体" w:eastAsia="黑体" w:cs="黑体"/>
          <w:sz w:val="40"/>
          <w:szCs w:val="40"/>
          <w:lang w:eastAsia="zh-CN"/>
        </w:rPr>
      </w:pPr>
      <w:r>
        <w:rPr>
          <w:rFonts w:hint="eastAsia" w:ascii="黑体" w:hAnsi="黑体" w:eastAsia="黑体" w:cs="黑体"/>
          <w:sz w:val="40"/>
          <w:szCs w:val="40"/>
        </w:rPr>
        <w:t xml:space="preserve">  招标</w:t>
      </w:r>
      <w:r>
        <w:rPr>
          <w:rFonts w:hint="eastAsia" w:ascii="黑体" w:hAnsi="黑体" w:eastAsia="黑体" w:cs="黑体"/>
          <w:sz w:val="40"/>
          <w:szCs w:val="40"/>
          <w:lang w:eastAsia="zh-CN"/>
        </w:rPr>
        <w:t>公告</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合肥市产业投资控股（集团）有限公司</w:t>
      </w:r>
      <w:r>
        <w:rPr>
          <w:rFonts w:hint="eastAsia" w:asciiTheme="minorEastAsia" w:hAnsiTheme="minorEastAsia" w:eastAsiaTheme="minorEastAsia" w:cstheme="minorEastAsia"/>
          <w:sz w:val="28"/>
          <w:szCs w:val="28"/>
          <w:lang w:val="en-US" w:eastAsia="zh-CN"/>
        </w:rPr>
        <w:t>拟发行第二期海外债</w:t>
      </w:r>
      <w:r>
        <w:rPr>
          <w:rFonts w:hint="eastAsia" w:asciiTheme="minorEastAsia" w:hAnsiTheme="minorEastAsia" w:eastAsiaTheme="minorEastAsia" w:cstheme="minorEastAsia"/>
          <w:sz w:val="28"/>
          <w:szCs w:val="28"/>
        </w:rPr>
        <w:t>，遵循公平、公正、公开的原则，通过公开招标的方式选聘境外发债服务机构（</w:t>
      </w:r>
      <w:r>
        <w:rPr>
          <w:rFonts w:hint="eastAsia" w:asciiTheme="minorEastAsia" w:hAnsiTheme="minorEastAsia" w:eastAsiaTheme="minorEastAsia" w:cstheme="minorEastAsia"/>
          <w:sz w:val="28"/>
          <w:szCs w:val="28"/>
          <w:lang w:val="en-US" w:eastAsia="zh-CN"/>
        </w:rPr>
        <w:t>联席</w:t>
      </w:r>
      <w:r>
        <w:rPr>
          <w:rFonts w:hint="eastAsia" w:asciiTheme="minorEastAsia" w:hAnsiTheme="minorEastAsia" w:eastAsiaTheme="minorEastAsia" w:cstheme="minorEastAsia"/>
          <w:sz w:val="28"/>
          <w:szCs w:val="28"/>
        </w:rPr>
        <w:t>全球协调人），有关事项公告如下：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1．选聘条件</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合肥市产业投资控股（集团）有限公司</w:t>
      </w:r>
      <w:r>
        <w:rPr>
          <w:rFonts w:hint="eastAsia" w:asciiTheme="minorEastAsia" w:hAnsiTheme="minorEastAsia" w:eastAsiaTheme="minorEastAsia" w:cstheme="minorEastAsia"/>
          <w:sz w:val="28"/>
          <w:szCs w:val="28"/>
          <w:lang w:val="en-US" w:eastAsia="zh-CN"/>
        </w:rPr>
        <w:t>第二期海外债发行承销服务</w:t>
      </w:r>
      <w:r>
        <w:rPr>
          <w:rFonts w:hint="eastAsia" w:asciiTheme="minorEastAsia" w:hAnsiTheme="minorEastAsia" w:eastAsiaTheme="minorEastAsia" w:cstheme="minorEastAsia"/>
          <w:sz w:val="28"/>
          <w:szCs w:val="28"/>
        </w:rPr>
        <w:t>项目，是合肥市产业投资控股（集团）有限公司为顺利推进境外发行</w:t>
      </w:r>
      <w:r>
        <w:rPr>
          <w:rFonts w:hint="eastAsia" w:asciiTheme="minorEastAsia" w:hAnsiTheme="minorEastAsia" w:eastAsiaTheme="minorEastAsia" w:cstheme="minorEastAsia"/>
          <w:sz w:val="28"/>
          <w:szCs w:val="28"/>
          <w:lang w:val="en-US" w:eastAsia="zh-CN"/>
        </w:rPr>
        <w:t>期限</w:t>
      </w:r>
      <w:r>
        <w:rPr>
          <w:rFonts w:hint="eastAsia" w:asciiTheme="minorEastAsia" w:hAnsiTheme="minorEastAsia" w:eastAsiaTheme="minorEastAsia" w:cstheme="minorEastAsia"/>
          <w:sz w:val="28"/>
          <w:szCs w:val="28"/>
        </w:rPr>
        <w:t>不超过5年期（含5年）</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sz w:val="28"/>
          <w:szCs w:val="28"/>
        </w:rPr>
        <w:t>5亿美元债券工作需要而进行的项目，欢迎具有相应资格的投标人参与本项目投标。</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2．项目概况与选聘范围</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项目概况：通过公开招标的方式择优选取境外发债服务机构(全球协调人)。</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服务地点：香港、</w:t>
      </w:r>
      <w:r>
        <w:rPr>
          <w:rFonts w:hint="eastAsia" w:asciiTheme="minorEastAsia" w:hAnsiTheme="minorEastAsia" w:eastAsiaTheme="minorEastAsia" w:cstheme="minorEastAsia"/>
          <w:sz w:val="28"/>
          <w:szCs w:val="28"/>
          <w:lang w:val="en-US" w:eastAsia="zh-CN"/>
        </w:rPr>
        <w:t>新加坡、荷兰、德国、英国</w:t>
      </w:r>
      <w:r>
        <w:rPr>
          <w:rFonts w:hint="eastAsia" w:asciiTheme="minorEastAsia" w:hAnsiTheme="minorEastAsia" w:eastAsiaTheme="minorEastAsia" w:cstheme="minorEastAsia"/>
          <w:sz w:val="28"/>
          <w:szCs w:val="28"/>
        </w:rPr>
        <w:t>等。</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服务期限：从签订合同之日起至本次债券偿清本息之日止。</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服务范围：本次选聘要求投标人具有提供境外融资业务(境外发债)全球协调及承销服务能力，本次项目实施过程中，</w:t>
      </w:r>
      <w:r>
        <w:rPr>
          <w:rFonts w:hint="eastAsia" w:asciiTheme="minorEastAsia" w:hAnsiTheme="minorEastAsia" w:eastAsiaTheme="minorEastAsia" w:cstheme="minorEastAsia"/>
          <w:sz w:val="28"/>
          <w:szCs w:val="28"/>
          <w:lang w:val="en-US" w:eastAsia="zh-CN"/>
        </w:rPr>
        <w:t>联席</w:t>
      </w:r>
      <w:r>
        <w:rPr>
          <w:rFonts w:hint="eastAsia" w:asciiTheme="minorEastAsia" w:hAnsiTheme="minorEastAsia" w:eastAsiaTheme="minorEastAsia" w:cstheme="minorEastAsia"/>
          <w:sz w:val="28"/>
          <w:szCs w:val="28"/>
        </w:rPr>
        <w:t>全球协调人应有充足的人力投入工作，能够向招标人提供向境外融资公开发行债券的服务，协助发行主体的境外资信评级、产品设计、材料准备、承销组团、发行定价、销售等发债所需要的全部服务。招标人有权根据本项目的要求，合理决定全球协调人提供服务的工作方式和工作时间。全球协调人应根据招标人要求，及时、高质量地提供相应服务，并与其他承销商紧密合作，共同完成本项目。具体工作包括但不限于以下内容：</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 设计发行结构和发行方案，参与编制募集说明书，就境外发行债券方案的可行性、操作细节及可能涉及的问题进行研究并提供建议；</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组建承销团队（承销团队成员名单需经招标人同意）；</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 制定项目时间表和各中介分工，协调其他各方中介机构按预定时间，推进项目执行，完成相关工作；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 协助招标人获得监管审批或备案，组织各中介机构回答监管机构的反馈意见；</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2.5 协助招标人优化发行方案，制定针对投资者的详细营销方案，帮助安排各阶段与投资者的有效沟通；</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2.6 协助招标人与评级机构沟通以确定最终发行评级；</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2.7 组织项目文件起草及尽职调查；</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2.8 确定票据契约/条款和条件，以及其他交易文件；负责起草路演材料；</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2.9 安排路演；</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2.10 推介与分销；</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2.11 定价、建档、分配、结算和交割、后市稳定及公告发行情况等；</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2.12 由招标人安排的其他涉及本次债券发行的相关工作，工作内容如有调整，以招标人实际工作安排为准。</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3．投标人资格要求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 投标人须为在中华人民共和国大陆地区或香港地区等地合法注册的金融机构；具有提供本项目服务能力，具备境外债券承销资格的承销商。</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 投标人具有为招标人在中国大陆地区以外融资提供建议、债券承销分销、进行债券交易的能力。</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 投标人、投标人的母公司或投标人所在集团在中国大陆地区或在香港等全球金融中心设有分支机构、控股子公司或者联营公司等。</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 投标人须在本行业具有良好业绩和经验。</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 满足要求的合格投标人均可就上述项目进行投标。</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eastAsia="zh-CN"/>
        </w:rPr>
        <w:t>具体事项</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Theme="minorEastAsia" w:hAnsiTheme="minorEastAsia" w:eastAsiaTheme="minorEastAsia" w:cstheme="minorEastAsia"/>
          <w:sz w:val="28"/>
          <w:szCs w:val="28"/>
          <w:highlight w:val="yellow"/>
          <w:lang w:val="en-US" w:eastAsia="zh-CN"/>
        </w:rPr>
      </w:pPr>
      <w:r>
        <w:rPr>
          <w:rFonts w:hint="eastAsia" w:asciiTheme="minorEastAsia" w:hAnsiTheme="minorEastAsia" w:eastAsiaTheme="minorEastAsia" w:cstheme="minorEastAsia"/>
          <w:sz w:val="28"/>
          <w:szCs w:val="28"/>
        </w:rPr>
        <w:t xml:space="preserve">4.1 </w:t>
      </w:r>
      <w:r>
        <w:rPr>
          <w:rFonts w:hint="eastAsia" w:asciiTheme="minorEastAsia" w:hAnsiTheme="minorEastAsia" w:eastAsiaTheme="minorEastAsia" w:cstheme="minorEastAsia"/>
          <w:sz w:val="28"/>
          <w:szCs w:val="28"/>
          <w:lang w:eastAsia="zh-CN"/>
        </w:rPr>
        <w:t>各投标人请自行下载招标文件（下载地址：</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HYPERLINK "http://www.hfctjt.com/）。" </w:instrText>
      </w:r>
      <w:r>
        <w:rPr>
          <w:rFonts w:hint="eastAsia" w:asciiTheme="minorEastAsia" w:hAnsiTheme="minorEastAsia" w:eastAsiaTheme="minorEastAsia" w:cstheme="minorEastAsia"/>
          <w:sz w:val="28"/>
          <w:szCs w:val="28"/>
          <w:lang w:val="en-US" w:eastAsia="zh-CN"/>
        </w:rPr>
        <w:fldChar w:fldCharType="separate"/>
      </w:r>
      <w:r>
        <w:rPr>
          <w:rStyle w:val="11"/>
          <w:rFonts w:hint="eastAsia" w:asciiTheme="minorEastAsia" w:hAnsiTheme="minorEastAsia" w:eastAsiaTheme="minorEastAsia" w:cstheme="minorEastAsia"/>
          <w:sz w:val="28"/>
          <w:szCs w:val="28"/>
          <w:lang w:val="en-US" w:eastAsia="zh-CN"/>
        </w:rPr>
        <w:t>http://www.hfctjt.com/</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eastAsia="zh-CN"/>
        </w:rPr>
        <w:t>），填写投标函，通过电子邮件发至邮箱：</w:t>
      </w:r>
      <w:r>
        <w:rPr>
          <w:rFonts w:hint="eastAsia" w:asciiTheme="minorEastAsia" w:hAnsiTheme="minorEastAsia" w:eastAsiaTheme="minorEastAsia" w:cstheme="minorEastAsia"/>
          <w:sz w:val="28"/>
          <w:szCs w:val="28"/>
          <w:highlight w:val="none"/>
          <w:lang w:val="en-US" w:eastAsia="zh-CN"/>
        </w:rPr>
        <w:t>931255902@qq.com。</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 xml:space="preserve">4.2 </w:t>
      </w:r>
      <w:r>
        <w:rPr>
          <w:rFonts w:hint="eastAsia" w:asciiTheme="minorEastAsia" w:hAnsiTheme="minorEastAsia" w:eastAsiaTheme="minorEastAsia" w:cstheme="minorEastAsia"/>
          <w:sz w:val="28"/>
          <w:szCs w:val="28"/>
          <w:highlight w:val="none"/>
          <w:lang w:eastAsia="zh-CN"/>
        </w:rPr>
        <w:t>递交投标文件截止时间：</w:t>
      </w:r>
      <w:r>
        <w:rPr>
          <w:rFonts w:hint="eastAsia" w:asciiTheme="minorEastAsia" w:hAnsiTheme="minorEastAsia" w:eastAsiaTheme="minorEastAsia" w:cstheme="minorEastAsia"/>
          <w:sz w:val="28"/>
          <w:szCs w:val="28"/>
          <w:highlight w:val="none"/>
          <w:lang w:val="en-US" w:eastAsia="zh-CN"/>
        </w:rPr>
        <w:t>2020年1月8日14时前。</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lang w:eastAsia="zh-CN"/>
        </w:rPr>
        <w:t>送达地址：</w:t>
      </w:r>
      <w:r>
        <w:rPr>
          <w:rFonts w:hint="eastAsia" w:asciiTheme="minorEastAsia" w:hAnsiTheme="minorEastAsia" w:eastAsiaTheme="minorEastAsia" w:cstheme="minorEastAsia"/>
          <w:sz w:val="28"/>
          <w:szCs w:val="28"/>
          <w:highlight w:val="none"/>
        </w:rPr>
        <w:t>合肥市</w:t>
      </w:r>
      <w:r>
        <w:rPr>
          <w:rFonts w:hint="eastAsia" w:asciiTheme="minorEastAsia" w:hAnsiTheme="minorEastAsia" w:eastAsiaTheme="minorEastAsia" w:cstheme="minorEastAsia"/>
          <w:sz w:val="28"/>
          <w:szCs w:val="28"/>
          <w:highlight w:val="none"/>
          <w:lang w:eastAsia="zh-CN"/>
        </w:rPr>
        <w:t>政务区</w:t>
      </w:r>
      <w:r>
        <w:rPr>
          <w:rFonts w:hint="eastAsia" w:asciiTheme="minorEastAsia" w:hAnsiTheme="minorEastAsia" w:eastAsiaTheme="minorEastAsia" w:cstheme="minorEastAsia"/>
          <w:sz w:val="28"/>
          <w:szCs w:val="28"/>
          <w:highlight w:val="none"/>
        </w:rPr>
        <w:t>潜山路100号琥珀五环国际A座</w:t>
      </w:r>
      <w:r>
        <w:rPr>
          <w:rFonts w:hint="eastAsia" w:asciiTheme="minorEastAsia" w:hAnsiTheme="minorEastAsia" w:eastAsiaTheme="minorEastAsia" w:cstheme="minorEastAsia"/>
          <w:sz w:val="28"/>
          <w:szCs w:val="28"/>
          <w:highlight w:val="none"/>
          <w:lang w:eastAsia="zh-CN"/>
        </w:rPr>
        <w:t>合肥市产业投资控股（集团）有限公司</w:t>
      </w:r>
      <w:r>
        <w:rPr>
          <w:rFonts w:hint="eastAsia" w:asciiTheme="minorEastAsia" w:hAnsiTheme="minorEastAsia" w:eastAsiaTheme="minorEastAsia" w:cstheme="minorEastAsia"/>
          <w:sz w:val="28"/>
          <w:szCs w:val="28"/>
          <w:highlight w:val="none"/>
        </w:rPr>
        <w:t>5楼</w:t>
      </w:r>
      <w:r>
        <w:rPr>
          <w:rFonts w:hint="eastAsia" w:asciiTheme="minorEastAsia" w:hAnsiTheme="minorEastAsia" w:eastAsiaTheme="minorEastAsia" w:cstheme="minorEastAsia"/>
          <w:sz w:val="28"/>
          <w:szCs w:val="28"/>
          <w:highlight w:val="none"/>
          <w:lang w:val="en-US" w:eastAsia="zh-CN"/>
        </w:rPr>
        <w:t>507室</w:t>
      </w:r>
      <w:r>
        <w:rPr>
          <w:rFonts w:hint="eastAsia" w:asciiTheme="minorEastAsia" w:hAnsiTheme="minorEastAsia" w:eastAsiaTheme="minorEastAsia" w:cstheme="minorEastAsia"/>
          <w:sz w:val="28"/>
          <w:szCs w:val="28"/>
          <w:highlight w:val="none"/>
        </w:rPr>
        <w:t>风险管控部</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rPr>
        <w:t>逾期送达的或者未送达指定地点的投标文件，招标人不予受理。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4.3开标时间和地点：2020年1月8日14时30分，</w:t>
      </w:r>
      <w:r>
        <w:rPr>
          <w:rFonts w:hint="eastAsia" w:asciiTheme="minorEastAsia" w:hAnsiTheme="minorEastAsia" w:eastAsiaTheme="minorEastAsia" w:cstheme="minorEastAsia"/>
          <w:sz w:val="28"/>
          <w:szCs w:val="28"/>
          <w:highlight w:val="none"/>
          <w:lang w:eastAsia="zh-CN"/>
        </w:rPr>
        <w:t>合肥市产业投资控股（集团）有限公司会议室。</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4.4项目咨询与答复：</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业务联系人：宋键</w:t>
      </w:r>
      <w:bookmarkStart w:id="5" w:name="_GoBack"/>
      <w:bookmarkEnd w:id="5"/>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eastAsia="zh-CN"/>
        </w:rPr>
        <w:t>联系电话：</w:t>
      </w:r>
      <w:r>
        <w:rPr>
          <w:rFonts w:hint="eastAsia" w:asciiTheme="minorEastAsia" w:hAnsiTheme="minorEastAsia" w:eastAsiaTheme="minorEastAsia" w:cstheme="minorEastAsia"/>
          <w:sz w:val="28"/>
          <w:szCs w:val="28"/>
          <w:highlight w:val="none"/>
          <w:lang w:val="en-US" w:eastAsia="zh-CN"/>
        </w:rPr>
        <w:t>0551-62620323</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招标联系人：徐玲玲</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联系电话：0551-62647687</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Theme="minorEastAsia" w:hAnsiTheme="minorEastAsia" w:eastAsiaTheme="minorEastAsia" w:cstheme="minorEastAsia"/>
          <w:sz w:val="28"/>
          <w:szCs w:val="28"/>
          <w:highlight w:val="yellow"/>
          <w:lang w:val="en-US" w:eastAsia="zh-CN"/>
        </w:rPr>
      </w:pPr>
      <w:r>
        <w:rPr>
          <w:rFonts w:hint="eastAsia" w:asciiTheme="minorEastAsia" w:hAnsiTheme="minorEastAsia" w:eastAsiaTheme="minorEastAsia" w:cstheme="minorEastAsia"/>
          <w:sz w:val="28"/>
          <w:szCs w:val="28"/>
          <w:highlight w:val="none"/>
          <w:lang w:val="en-US" w:eastAsia="zh-CN"/>
        </w:rPr>
        <w:t>电子邮箱：931255902@qq.com</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传</w:t>
      </w:r>
      <w:r>
        <w:rPr>
          <w:rFonts w:hint="eastAsia" w:asciiTheme="minorEastAsia" w:hAnsiTheme="minorEastAsia" w:eastAsiaTheme="minorEastAsia" w:cstheme="minorEastAsia"/>
          <w:sz w:val="28"/>
          <w:szCs w:val="28"/>
          <w:lang w:eastAsia="zh-CN"/>
        </w:rPr>
        <w:t>　　</w:t>
      </w:r>
      <w:r>
        <w:rPr>
          <w:rFonts w:hint="eastAsia" w:asciiTheme="minorEastAsia" w:hAnsiTheme="minorEastAsia" w:eastAsiaTheme="minorEastAsia" w:cstheme="minorEastAsia"/>
          <w:sz w:val="28"/>
          <w:szCs w:val="28"/>
        </w:rPr>
        <w:t>真：0551-62647739</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center"/>
        <w:textAlignment w:val="auto"/>
        <w:rPr>
          <w:rFonts w:hint="eastAsia" w:ascii="黑体" w:hAnsi="黑体" w:eastAsia="黑体" w:cs="黑体"/>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center"/>
        <w:textAlignment w:val="auto"/>
        <w:rPr>
          <w:rFonts w:hint="eastAsia" w:ascii="黑体" w:hAnsi="黑体" w:eastAsia="黑体" w:cs="黑体"/>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center"/>
        <w:textAlignment w:val="auto"/>
        <w:rPr>
          <w:rFonts w:hint="eastAsia" w:ascii="黑体" w:hAnsi="黑体" w:eastAsia="黑体" w:cs="黑体"/>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center"/>
        <w:textAlignment w:val="auto"/>
        <w:rPr>
          <w:rFonts w:hint="eastAsia" w:ascii="黑体" w:hAnsi="黑体" w:eastAsia="黑体" w:cs="黑体"/>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center"/>
        <w:textAlignment w:val="auto"/>
        <w:rPr>
          <w:rFonts w:hint="eastAsia" w:ascii="黑体" w:hAnsi="黑体" w:eastAsia="黑体" w:cs="黑体"/>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center"/>
        <w:textAlignment w:val="auto"/>
        <w:rPr>
          <w:rFonts w:hint="eastAsia" w:ascii="黑体" w:hAnsi="黑体" w:eastAsia="黑体" w:cs="黑体"/>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1120" w:firstLineChars="200"/>
        <w:jc w:val="center"/>
        <w:textAlignment w:val="auto"/>
        <w:rPr>
          <w:rFonts w:hint="eastAsia" w:ascii="黑体" w:hAnsi="黑体" w:eastAsia="黑体" w:cs="黑体"/>
          <w:sz w:val="56"/>
          <w:szCs w:val="56"/>
          <w:lang w:val="en-US" w:eastAsia="zh-CN"/>
        </w:rPr>
      </w:pPr>
    </w:p>
    <w:p>
      <w:pPr>
        <w:pStyle w:val="2"/>
        <w:bidi w:val="0"/>
        <w:jc w:val="center"/>
        <w:rPr>
          <w:rFonts w:hint="eastAsia" w:ascii="黑体" w:hAnsi="黑体" w:eastAsia="黑体" w:cs="黑体"/>
          <w:sz w:val="56"/>
          <w:szCs w:val="32"/>
          <w:lang w:val="en-US" w:eastAsia="zh-CN"/>
        </w:rPr>
      </w:pPr>
      <w:bookmarkStart w:id="1" w:name="_Toc13397"/>
      <w:r>
        <w:rPr>
          <w:rFonts w:hint="eastAsia" w:ascii="黑体" w:hAnsi="黑体" w:eastAsia="黑体" w:cs="黑体"/>
          <w:sz w:val="56"/>
          <w:szCs w:val="32"/>
          <w:lang w:val="en-US" w:eastAsia="zh-CN"/>
        </w:rPr>
        <w:t>第二章  投标人须知</w:t>
      </w:r>
      <w:bookmarkEnd w:id="1"/>
    </w:p>
    <w:p>
      <w:pPr>
        <w:rPr>
          <w:rFonts w:hint="eastAsia" w:ascii="黑体" w:hAnsi="黑体" w:eastAsia="黑体" w:cs="黑体"/>
          <w:sz w:val="56"/>
          <w:szCs w:val="56"/>
          <w:lang w:val="en-US" w:eastAsia="zh-CN"/>
        </w:rPr>
      </w:pPr>
      <w:r>
        <w:rPr>
          <w:rFonts w:hint="eastAsia" w:ascii="黑体" w:hAnsi="黑体" w:eastAsia="黑体" w:cs="黑体"/>
          <w:sz w:val="56"/>
          <w:szCs w:val="56"/>
          <w:lang w:val="en-US" w:eastAsia="zh-CN"/>
        </w:rPr>
        <w:br w:type="page"/>
      </w:r>
    </w:p>
    <w:p>
      <w:pPr>
        <w:keepNext w:val="0"/>
        <w:keepLines w:val="0"/>
        <w:pageBreakBefore w:val="0"/>
        <w:widowControl/>
        <w:kinsoku/>
        <w:wordWrap/>
        <w:overflowPunct/>
        <w:topLinePunct w:val="0"/>
        <w:autoSpaceDE/>
        <w:autoSpaceDN/>
        <w:bidi w:val="0"/>
        <w:adjustRightInd w:val="0"/>
        <w:snapToGrid w:val="0"/>
        <w:spacing w:before="361" w:beforeLines="100" w:after="625" w:afterLines="200" w:line="220" w:lineRule="atLeast"/>
        <w:jc w:val="center"/>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第二章  投标人须知</w:t>
      </w:r>
    </w:p>
    <w:tbl>
      <w:tblPr>
        <w:tblStyle w:val="13"/>
        <w:tblW w:w="91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1"/>
        <w:gridCol w:w="1718"/>
        <w:gridCol w:w="63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244" w:right="235"/>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编号</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118" w:right="111"/>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条款名称</w:t>
            </w:r>
          </w:p>
        </w:tc>
        <w:tc>
          <w:tcPr>
            <w:tcW w:w="639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2605" w:right="2603"/>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6"/>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119" w:right="113"/>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639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right="102"/>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合肥市产业投资控股（集团）有限公司</w:t>
            </w:r>
            <w:r>
              <w:rPr>
                <w:rFonts w:hint="eastAsia" w:asciiTheme="minorEastAsia" w:hAnsiTheme="minorEastAsia" w:eastAsiaTheme="minorEastAsia" w:cstheme="minorEastAsia"/>
                <w:sz w:val="21"/>
                <w:szCs w:val="21"/>
                <w:lang w:val="en-US" w:eastAsia="zh-CN"/>
              </w:rPr>
              <w:t>第二期海外债发行承销服务项目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7"/>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118" w:right="111"/>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639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w:t>
            </w:r>
            <w:r>
              <w:rPr>
                <w:rFonts w:hint="eastAsia" w:asciiTheme="minorEastAsia" w:hAnsiTheme="minorEastAsia" w:eastAsiaTheme="minorEastAsia" w:cstheme="minorEastAsia"/>
                <w:spacing w:val="-8"/>
                <w:sz w:val="21"/>
                <w:szCs w:val="21"/>
              </w:rPr>
              <w:t>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5"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244" w:right="235"/>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118" w:right="111"/>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投标人不得存在下列情形之一</w:t>
            </w:r>
          </w:p>
        </w:tc>
        <w:tc>
          <w:tcPr>
            <w:tcW w:w="639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pacing w:val="-3"/>
                <w:sz w:val="21"/>
                <w:szCs w:val="21"/>
              </w:rPr>
              <w:t>）为招标人不具有独立法人资格的附属机构</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2"/>
                <w:sz w:val="21"/>
                <w:szCs w:val="21"/>
              </w:rPr>
              <w:t>单位</w:t>
            </w:r>
            <w:r>
              <w:rPr>
                <w:rFonts w:hint="eastAsia" w:asciiTheme="minorEastAsia" w:hAnsiTheme="minorEastAsia" w:eastAsiaTheme="minorEastAsia" w:cstheme="minorEastAsia"/>
                <w:spacing w:val="-106"/>
                <w:sz w:val="21"/>
                <w:szCs w:val="21"/>
              </w:rPr>
              <w:t>）</w:t>
            </w:r>
            <w:r>
              <w:rPr>
                <w:rFonts w:hint="eastAsia" w:asciiTheme="minorEastAsia" w:hAnsiTheme="minorEastAsia" w:eastAsiaTheme="minorEastAsia" w:cstheme="minorEastAsia"/>
                <w:sz w:val="21"/>
                <w:szCs w:val="21"/>
              </w:rPr>
              <w:t>；</w:t>
            </w:r>
          </w:p>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（2）与本招标项目为同一个法定代表人的；</w:t>
            </w:r>
          </w:p>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（3）与本招标项目相互控股或参股的；</w:t>
            </w:r>
          </w:p>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（4）与本招标项目相互任职或工作的；</w:t>
            </w:r>
          </w:p>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（5）被责令停业的；</w:t>
            </w:r>
          </w:p>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（6）被暂停或取消投标资格的；</w:t>
            </w:r>
          </w:p>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（7）财产被接管或冻结的；</w:t>
            </w:r>
          </w:p>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（8）在最近三年内有骗取中标或严重违约或重大质量问题的；</w:t>
            </w:r>
          </w:p>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（9）不具有良好的商业信誉和健全的财务会计制度；</w:t>
            </w:r>
          </w:p>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（10）不具有履行合同所必需的设备和专业技术能力；</w:t>
            </w:r>
          </w:p>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（11）法律、行政法规规定的其他不合规条件。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right="346" w:rightChars="0"/>
              <w:jc w:val="righ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116" w:leftChars="0" w:right="112" w:right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是否允许分包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转包</w:t>
            </w:r>
          </w:p>
        </w:tc>
        <w:tc>
          <w:tcPr>
            <w:tcW w:w="6391" w:type="dxa"/>
            <w:vAlign w:val="top"/>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4"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right="346" w:rightChars="0"/>
              <w:jc w:val="righ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118" w:leftChars="0" w:right="112"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条件审查</w:t>
            </w:r>
          </w:p>
        </w:tc>
        <w:tc>
          <w:tcPr>
            <w:tcW w:w="6391" w:type="dxa"/>
            <w:vAlign w:val="top"/>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投标文件条件审查部分至少应包括但不限于以下内容：</w:t>
            </w:r>
          </w:p>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right="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w:t>
            </w:r>
            <w:r>
              <w:rPr>
                <w:rFonts w:hint="eastAsia" w:asciiTheme="minorEastAsia" w:hAnsiTheme="minorEastAsia" w:eastAsiaTheme="minorEastAsia" w:cstheme="minorEastAsia"/>
                <w:spacing w:val="-101"/>
                <w:sz w:val="21"/>
                <w:szCs w:val="21"/>
              </w:rPr>
              <w:t>）</w:t>
            </w:r>
            <w:r>
              <w:rPr>
                <w:rFonts w:hint="eastAsia" w:asciiTheme="minorEastAsia" w:hAnsiTheme="minorEastAsia" w:eastAsiaTheme="minorEastAsia" w:cstheme="minorEastAsia"/>
                <w:sz w:val="21"/>
                <w:szCs w:val="21"/>
              </w:rPr>
              <w:t>“资格声明”应附投标人营业执照副本等其他能够证明为合法注</w:t>
            </w:r>
            <w:r>
              <w:rPr>
                <w:rFonts w:hint="eastAsia" w:asciiTheme="minorEastAsia" w:hAnsiTheme="minorEastAsia" w:eastAsiaTheme="minorEastAsia" w:cstheme="minorEastAsia"/>
                <w:spacing w:val="-3"/>
                <w:sz w:val="21"/>
                <w:szCs w:val="21"/>
              </w:rPr>
              <w:t>册的金融机构的材料；</w:t>
            </w:r>
          </w:p>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right="46"/>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（2）其他资格审查材料：至少包括但不限于以下文件（均提交复印件并加盖公章）</w:t>
            </w:r>
          </w:p>
          <w:p>
            <w:pPr>
              <w:pStyle w:val="12"/>
              <w:keepNext w:val="0"/>
              <w:keepLines w:val="0"/>
              <w:pageBreakBefore w:val="0"/>
              <w:widowControl/>
              <w:numPr>
                <w:ilvl w:val="0"/>
                <w:numId w:val="2"/>
              </w:numPr>
              <w:tabs>
                <w:tab w:val="left" w:pos="525"/>
                <w:tab w:val="left" w:pos="526"/>
              </w:tabs>
              <w:kinsoku/>
              <w:wordWrap/>
              <w:overflowPunct/>
              <w:topLinePunct w:val="0"/>
              <w:autoSpaceDE/>
              <w:autoSpaceDN/>
              <w:bidi w:val="0"/>
              <w:adjustRightInd w:val="0"/>
              <w:snapToGrid w:val="0"/>
              <w:spacing w:after="0" w:line="24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投标公司的法人授权书</w:t>
            </w:r>
          </w:p>
          <w:p>
            <w:pPr>
              <w:pStyle w:val="12"/>
              <w:keepNext w:val="0"/>
              <w:keepLines w:val="0"/>
              <w:pageBreakBefore w:val="0"/>
              <w:widowControl/>
              <w:numPr>
                <w:ilvl w:val="0"/>
                <w:numId w:val="2"/>
              </w:numPr>
              <w:tabs>
                <w:tab w:val="left" w:pos="525"/>
                <w:tab w:val="left" w:pos="526"/>
              </w:tabs>
              <w:kinsoku/>
              <w:wordWrap/>
              <w:overflowPunct/>
              <w:topLinePunct w:val="0"/>
              <w:autoSpaceDE/>
              <w:autoSpaceDN/>
              <w:bidi w:val="0"/>
              <w:adjustRightInd w:val="0"/>
              <w:snapToGrid w:val="0"/>
              <w:spacing w:after="0" w:line="24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出具未在最近三年内因骗取中标或严重违约等情形受到相关机构处罚的承诺函</w:t>
            </w:r>
          </w:p>
          <w:p>
            <w:pPr>
              <w:pStyle w:val="12"/>
              <w:keepNext w:val="0"/>
              <w:keepLines w:val="0"/>
              <w:pageBreakBefore w:val="0"/>
              <w:widowControl/>
              <w:numPr>
                <w:ilvl w:val="0"/>
                <w:numId w:val="2"/>
              </w:numPr>
              <w:tabs>
                <w:tab w:val="left" w:pos="525"/>
                <w:tab w:val="left" w:pos="526"/>
              </w:tabs>
              <w:kinsoku/>
              <w:wordWrap/>
              <w:overflowPunct/>
              <w:topLinePunct w:val="0"/>
              <w:autoSpaceDE/>
              <w:autoSpaceDN/>
              <w:bidi w:val="0"/>
              <w:adjustRightInd w:val="0"/>
              <w:snapToGrid w:val="0"/>
              <w:spacing w:after="0" w:line="24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val="en-US" w:eastAsia="zh-CN"/>
              </w:rPr>
              <w:t>香港证监会第一类和第四类牌照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投标报价</w:t>
            </w:r>
          </w:p>
        </w:tc>
        <w:tc>
          <w:tcPr>
            <w:tcW w:w="6391" w:type="dxa"/>
            <w:vAlign w:val="top"/>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val="en-US" w:eastAsia="zh-CN"/>
              </w:rPr>
              <w:t>投标人</w:t>
            </w:r>
            <w:r>
              <w:rPr>
                <w:rFonts w:hint="eastAsia" w:asciiTheme="minorEastAsia" w:hAnsiTheme="minorEastAsia" w:eastAsiaTheme="minorEastAsia" w:cstheme="minorEastAsia"/>
                <w:sz w:val="21"/>
                <w:szCs w:val="21"/>
                <w:highlight w:val="none"/>
              </w:rPr>
              <w:t>报本</w:t>
            </w:r>
            <w:r>
              <w:rPr>
                <w:rFonts w:hint="eastAsia" w:asciiTheme="minorEastAsia" w:hAnsiTheme="minorEastAsia" w:eastAsiaTheme="minorEastAsia" w:cstheme="minorEastAsia"/>
                <w:sz w:val="21"/>
                <w:szCs w:val="21"/>
                <w:highlight w:val="none"/>
                <w:lang w:val="en-US" w:eastAsia="zh-CN"/>
              </w:rPr>
              <w:t>次</w:t>
            </w:r>
            <w:r>
              <w:rPr>
                <w:rFonts w:hint="eastAsia" w:asciiTheme="minorEastAsia" w:hAnsiTheme="minorEastAsia" w:eastAsiaTheme="minorEastAsia" w:cstheme="minorEastAsia"/>
                <w:sz w:val="21"/>
                <w:szCs w:val="21"/>
                <w:highlight w:val="none"/>
              </w:rPr>
              <w:t>项目承销费率。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w:t>
            </w:r>
          </w:p>
        </w:tc>
        <w:tc>
          <w:tcPr>
            <w:tcW w:w="6391" w:type="dxa"/>
            <w:vAlign w:val="top"/>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52" w:leftChars="0" w:right="41"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投标截止日期后 </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 日历天。在有效期内投标人不得要求撤销或修改其投标文件。在特殊情况下，招标人可与投标人协商延长投标有效期，这种要求与答复均应使用书面形式。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承诺</w:t>
            </w:r>
          </w:p>
        </w:tc>
        <w:tc>
          <w:tcPr>
            <w:tcW w:w="6391" w:type="dxa"/>
            <w:vAlign w:val="top"/>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52" w:leftChars="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投标人承诺认购的此次境外发债比例，且对价格不敏感。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证明材料</w:t>
            </w:r>
          </w:p>
        </w:tc>
        <w:tc>
          <w:tcPr>
            <w:tcW w:w="6391" w:type="dxa"/>
            <w:vAlign w:val="top"/>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52" w:lef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投标人需要招标文件中提供以下材料</w:t>
            </w:r>
          </w:p>
          <w:p>
            <w:pPr>
              <w:pStyle w:val="12"/>
              <w:keepNext w:val="0"/>
              <w:keepLines w:val="0"/>
              <w:pageBreakBefore w:val="0"/>
              <w:widowControl/>
              <w:numPr>
                <w:ilvl w:val="0"/>
                <w:numId w:val="3"/>
              </w:numPr>
              <w:kinsoku/>
              <w:wordWrap/>
              <w:overflowPunct/>
              <w:topLinePunct w:val="0"/>
              <w:autoSpaceDE/>
              <w:autoSpaceDN/>
              <w:bidi w:val="0"/>
              <w:adjustRightInd w:val="0"/>
              <w:snapToGrid w:val="0"/>
              <w:spacing w:after="0" w:line="240" w:lineRule="auto"/>
              <w:ind w:left="420" w:leftChars="0" w:hanging="420" w:firstLineChars="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投标人国际信用评级证明</w:t>
            </w:r>
          </w:p>
          <w:p>
            <w:pPr>
              <w:pStyle w:val="12"/>
              <w:keepNext w:val="0"/>
              <w:keepLines w:val="0"/>
              <w:pageBreakBefore w:val="0"/>
              <w:widowControl/>
              <w:numPr>
                <w:ilvl w:val="0"/>
                <w:numId w:val="3"/>
              </w:numPr>
              <w:kinsoku/>
              <w:wordWrap/>
              <w:overflowPunct/>
              <w:topLinePunct w:val="0"/>
              <w:autoSpaceDE/>
              <w:autoSpaceDN/>
              <w:bidi w:val="0"/>
              <w:adjustRightInd w:val="0"/>
              <w:snapToGrid w:val="0"/>
              <w:spacing w:after="0" w:line="240" w:lineRule="auto"/>
              <w:ind w:left="420" w:leftChars="0" w:hanging="420" w:firstLineChars="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承销经验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是否允许递交备选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投标方案</w:t>
            </w:r>
          </w:p>
        </w:tc>
        <w:tc>
          <w:tcPr>
            <w:tcW w:w="6391" w:type="dxa"/>
            <w:vAlign w:val="top"/>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52"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签字或盖章要求</w:t>
            </w:r>
          </w:p>
        </w:tc>
        <w:tc>
          <w:tcPr>
            <w:tcW w:w="6391" w:type="dxa"/>
            <w:vAlign w:val="top"/>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52" w:leftChars="0" w:right="101"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中所有要求盖章的文件材料及所有复印件都必须加盖投标人公章；所有要求签署的文件材料必须由投标人法定代表人或其委托代理人签字，委托代理人签字的必须同时附法定代表人签署的授权委托书。未按此要求签字或盖章的投标文件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jc w:val="center"/>
        </w:trPr>
        <w:tc>
          <w:tcPr>
            <w:tcW w:w="104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投标文件递交版本及份数</w:t>
            </w:r>
          </w:p>
        </w:tc>
        <w:tc>
          <w:tcPr>
            <w:tcW w:w="6391" w:type="dxa"/>
            <w:vAlign w:val="top"/>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52"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投标人应制作投标文件正本1份，副本</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份。所有投标文件必须一</w:t>
            </w:r>
            <w:r>
              <w:rPr>
                <w:rFonts w:hint="eastAsia" w:asciiTheme="minorEastAsia" w:hAnsiTheme="minorEastAsia" w:eastAsiaTheme="minorEastAsia" w:cstheme="minorEastAsia"/>
                <w:spacing w:val="-10"/>
                <w:sz w:val="21"/>
                <w:szCs w:val="21"/>
              </w:rPr>
              <w:t>同递交。封面上应清楚地标记“正本”或“副本”字样，并标明项目名称、</w:t>
            </w:r>
            <w:r>
              <w:rPr>
                <w:rFonts w:hint="eastAsia" w:asciiTheme="minorEastAsia" w:hAnsiTheme="minorEastAsia" w:eastAsiaTheme="minorEastAsia" w:cstheme="minorEastAsia"/>
                <w:sz w:val="21"/>
                <w:szCs w:val="21"/>
              </w:rPr>
              <w:t>投标人名称等内容，副本可以采用正本的复印件，当副本和正本不一致时，以正本为准。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jc w:val="center"/>
        </w:trPr>
        <w:tc>
          <w:tcPr>
            <w:tcW w:w="104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装订要求</w:t>
            </w:r>
          </w:p>
        </w:tc>
        <w:tc>
          <w:tcPr>
            <w:tcW w:w="6391" w:type="dxa"/>
            <w:vAlign w:val="top"/>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52"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w:t>
            </w:r>
            <w:r>
              <w:rPr>
                <w:rFonts w:hint="eastAsia" w:asciiTheme="minorEastAsia" w:hAnsiTheme="minorEastAsia" w:eastAsiaTheme="minorEastAsia" w:cstheme="minorEastAsia"/>
                <w:sz w:val="21"/>
                <w:szCs w:val="21"/>
                <w:lang w:val="en-US" w:eastAsia="zh-CN"/>
              </w:rPr>
              <w:t>应</w:t>
            </w:r>
            <w:r>
              <w:rPr>
                <w:rFonts w:hint="eastAsia" w:asciiTheme="minorEastAsia" w:hAnsiTheme="minorEastAsia" w:eastAsiaTheme="minorEastAsia" w:cstheme="minorEastAsia"/>
                <w:sz w:val="21"/>
                <w:szCs w:val="21"/>
              </w:rPr>
              <w:t>装订为一册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除明确要求单独提交的材料外，投标文件所有内容都必须按招标</w:t>
            </w:r>
            <w:r>
              <w:rPr>
                <w:rFonts w:hint="eastAsia" w:asciiTheme="minorEastAsia" w:hAnsiTheme="minorEastAsia" w:eastAsiaTheme="minorEastAsia" w:cstheme="minorEastAsia"/>
                <w:spacing w:val="-10"/>
                <w:sz w:val="21"/>
                <w:szCs w:val="21"/>
              </w:rPr>
              <w:t>文件要求</w:t>
            </w:r>
            <w:r>
              <w:rPr>
                <w:rFonts w:hint="eastAsia" w:asciiTheme="minorEastAsia" w:hAnsiTheme="minorEastAsia" w:eastAsiaTheme="minorEastAsia" w:cstheme="minorEastAsia"/>
                <w:spacing w:val="-21"/>
                <w:sz w:val="21"/>
                <w:szCs w:val="21"/>
              </w:rPr>
              <w:t>编制目录</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z w:val="21"/>
                <w:szCs w:val="21"/>
              </w:rPr>
              <w:t>在开评标过程中，由于重要文件未能装订入册造成遗漏、丢失而产生投标被拒绝的后果，均由投标人自行承担。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投标文件的密封</w:t>
            </w:r>
          </w:p>
        </w:tc>
        <w:tc>
          <w:tcPr>
            <w:tcW w:w="6391" w:type="dxa"/>
            <w:vAlign w:val="top"/>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52"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投标人应将</w:t>
            </w:r>
            <w:r>
              <w:rPr>
                <w:rFonts w:hint="eastAsia" w:asciiTheme="minorEastAsia" w:hAnsiTheme="minorEastAsia" w:eastAsiaTheme="minorEastAsia" w:cstheme="minorEastAsia"/>
                <w:sz w:val="21"/>
                <w:szCs w:val="21"/>
                <w:lang w:val="en-US" w:eastAsia="zh-CN"/>
              </w:rPr>
              <w:t>投标文件密封</w:t>
            </w:r>
            <w:r>
              <w:rPr>
                <w:rFonts w:hint="eastAsia" w:asciiTheme="minorEastAsia" w:hAnsiTheme="minorEastAsia" w:eastAsiaTheme="minorEastAsia" w:cstheme="minorEastAsia"/>
                <w:sz w:val="21"/>
                <w:szCs w:val="21"/>
              </w:rPr>
              <w:t>，加贴封条，并在封套的封口处骑缝签字或盖章。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是否退还投标文件</w:t>
            </w:r>
          </w:p>
        </w:tc>
        <w:tc>
          <w:tcPr>
            <w:tcW w:w="6391" w:type="dxa"/>
            <w:vAlign w:val="top"/>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评标小组的组建</w:t>
            </w:r>
          </w:p>
        </w:tc>
        <w:tc>
          <w:tcPr>
            <w:tcW w:w="6391" w:type="dxa"/>
            <w:vAlign w:val="top"/>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由合肥市产业投资控股（集团）有限公司确定。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1041"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1718" w:type="dxa"/>
            <w:vAlign w:val="center"/>
          </w:tcPr>
          <w:p>
            <w:pPr>
              <w:pStyle w:val="1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其他事项</w:t>
            </w:r>
          </w:p>
        </w:tc>
        <w:tc>
          <w:tcPr>
            <w:tcW w:w="6391" w:type="dxa"/>
            <w:vAlign w:val="top"/>
          </w:tcPr>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不论投标结果如何，投标人均应自行承担与编制和递交投标文件有</w:t>
            </w:r>
          </w:p>
          <w:p>
            <w:pPr>
              <w:pStyle w:val="12"/>
              <w:keepNext w:val="0"/>
              <w:keepLines w:val="0"/>
              <w:pageBreakBefore w:val="0"/>
              <w:widowControl/>
              <w:kinsoku/>
              <w:wordWrap/>
              <w:overflowPunct/>
              <w:topLinePunct w:val="0"/>
              <w:autoSpaceDE/>
              <w:autoSpaceDN/>
              <w:bidi w:val="0"/>
              <w:adjustRightInd w:val="0"/>
              <w:snapToGrid w:val="0"/>
              <w:spacing w:after="0" w:line="240" w:lineRule="auto"/>
              <w:ind w:left="105"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关的全部费用；本招标文件解释权属招标人。</w:t>
            </w:r>
          </w:p>
        </w:tc>
      </w:tr>
    </w:tbl>
    <w:p>
      <w:pPr>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200"/>
        <w:jc w:val="center"/>
        <w:textAlignment w:val="auto"/>
        <w:rPr>
          <w:rFonts w:hint="eastAsia" w:ascii="黑体" w:hAnsi="黑体" w:eastAsia="黑体" w:cs="黑体"/>
          <w:sz w:val="56"/>
          <w:szCs w:val="56"/>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200"/>
        <w:jc w:val="center"/>
        <w:textAlignment w:val="auto"/>
        <w:rPr>
          <w:rFonts w:hint="eastAsia" w:ascii="黑体" w:hAnsi="黑体" w:eastAsia="黑体" w:cs="黑体"/>
          <w:sz w:val="56"/>
          <w:szCs w:val="56"/>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200"/>
        <w:jc w:val="center"/>
        <w:textAlignment w:val="auto"/>
        <w:rPr>
          <w:rFonts w:hint="eastAsia" w:ascii="黑体" w:hAnsi="黑体" w:eastAsia="黑体" w:cs="黑体"/>
          <w:sz w:val="56"/>
          <w:szCs w:val="56"/>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200"/>
        <w:jc w:val="center"/>
        <w:textAlignment w:val="auto"/>
        <w:rPr>
          <w:rFonts w:hint="eastAsia" w:ascii="黑体" w:hAnsi="黑体" w:eastAsia="黑体" w:cs="黑体"/>
          <w:sz w:val="56"/>
          <w:szCs w:val="56"/>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200"/>
        <w:jc w:val="center"/>
        <w:textAlignment w:val="auto"/>
        <w:rPr>
          <w:rFonts w:hint="eastAsia" w:ascii="黑体" w:hAnsi="黑体" w:eastAsia="黑体" w:cs="黑体"/>
          <w:sz w:val="56"/>
          <w:szCs w:val="56"/>
          <w:lang w:val="en-US" w:eastAsia="zh-CN"/>
        </w:rPr>
      </w:pPr>
    </w:p>
    <w:p>
      <w:pPr>
        <w:pStyle w:val="2"/>
        <w:bidi w:val="0"/>
        <w:jc w:val="center"/>
        <w:rPr>
          <w:rFonts w:hint="eastAsia" w:ascii="黑体" w:hAnsi="黑体" w:eastAsia="黑体" w:cs="黑体"/>
          <w:sz w:val="56"/>
          <w:szCs w:val="32"/>
          <w:lang w:val="en-US" w:eastAsia="zh-CN"/>
        </w:rPr>
      </w:pPr>
      <w:bookmarkStart w:id="2" w:name="_Toc22352"/>
      <w:r>
        <w:rPr>
          <w:rFonts w:hint="eastAsia" w:ascii="黑体" w:hAnsi="黑体" w:eastAsia="黑体" w:cs="黑体"/>
          <w:sz w:val="56"/>
          <w:szCs w:val="32"/>
          <w:lang w:val="en-US" w:eastAsia="zh-CN"/>
        </w:rPr>
        <w:t>第三章 招标服务内容及要求</w:t>
      </w:r>
      <w:bookmarkEnd w:id="2"/>
    </w:p>
    <w:p>
      <w:pPr>
        <w:rPr>
          <w:rFonts w:hint="default" w:ascii="黑体" w:hAnsi="黑体" w:eastAsia="黑体" w:cs="黑体"/>
          <w:sz w:val="56"/>
          <w:szCs w:val="56"/>
          <w:lang w:val="en-US" w:eastAsia="zh-CN"/>
        </w:rPr>
      </w:pPr>
      <w:r>
        <w:rPr>
          <w:rFonts w:hint="default" w:ascii="黑体" w:hAnsi="黑体" w:eastAsia="黑体" w:cs="黑体"/>
          <w:sz w:val="56"/>
          <w:szCs w:val="56"/>
          <w:lang w:val="en-US" w:eastAsia="zh-CN"/>
        </w:rPr>
        <w:br w:type="page"/>
      </w:r>
    </w:p>
    <w:p>
      <w:pPr>
        <w:keepNext w:val="0"/>
        <w:keepLines w:val="0"/>
        <w:pageBreakBefore w:val="0"/>
        <w:widowControl/>
        <w:kinsoku/>
        <w:wordWrap/>
        <w:overflowPunct/>
        <w:topLinePunct w:val="0"/>
        <w:autoSpaceDE/>
        <w:autoSpaceDN/>
        <w:bidi w:val="0"/>
        <w:adjustRightInd w:val="0"/>
        <w:snapToGrid w:val="0"/>
        <w:spacing w:before="361" w:beforeLines="100" w:after="361" w:afterLines="100" w:line="220" w:lineRule="atLeast"/>
        <w:jc w:val="center"/>
        <w:textAlignment w:val="auto"/>
        <w:rPr>
          <w:rFonts w:hint="default" w:ascii="黑体" w:hAnsi="黑体" w:eastAsia="黑体" w:cs="黑体"/>
          <w:sz w:val="40"/>
          <w:szCs w:val="40"/>
          <w:lang w:val="en-US" w:eastAsia="zh-CN"/>
        </w:rPr>
      </w:pPr>
      <w:r>
        <w:rPr>
          <w:rFonts w:hint="eastAsia" w:ascii="黑体" w:hAnsi="黑体" w:eastAsia="黑体" w:cs="黑体"/>
          <w:sz w:val="40"/>
          <w:szCs w:val="40"/>
          <w:lang w:val="en-US" w:eastAsia="zh-CN"/>
        </w:rPr>
        <w:t>第三章  招标服务内容及要求</w:t>
      </w:r>
    </w:p>
    <w:p>
      <w:pPr>
        <w:pStyle w:val="15"/>
        <w:keepNext w:val="0"/>
        <w:keepLines w:val="0"/>
        <w:pageBreakBefore w:val="0"/>
        <w:kinsoku/>
        <w:wordWrap/>
        <w:overflowPunct/>
        <w:topLinePunct w:val="0"/>
        <w:bidi w:val="0"/>
        <w:adjustRightInd w:val="0"/>
        <w:snapToGrid w:val="0"/>
        <w:spacing w:line="360" w:lineRule="auto"/>
        <w:ind w:firstLine="562" w:firstLineChars="200"/>
        <w:jc w:val="both"/>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w:t>
      </w:r>
      <w:r>
        <w:rPr>
          <w:rFonts w:hint="eastAsia" w:asciiTheme="minorEastAsia" w:hAnsiTheme="minorEastAsia" w:eastAsiaTheme="minorEastAsia" w:cstheme="minorEastAsia"/>
          <w:b/>
          <w:sz w:val="28"/>
          <w:szCs w:val="28"/>
          <w:lang w:eastAsia="zh-CN"/>
        </w:rPr>
        <w:t>、</w:t>
      </w:r>
      <w:r>
        <w:rPr>
          <w:rFonts w:hint="eastAsia" w:asciiTheme="minorEastAsia" w:hAnsiTheme="minorEastAsia" w:eastAsiaTheme="minorEastAsia" w:cstheme="minorEastAsia"/>
          <w:b/>
          <w:sz w:val="28"/>
          <w:szCs w:val="28"/>
        </w:rPr>
        <w:t>基本内容</w:t>
      </w:r>
    </w:p>
    <w:p>
      <w:pPr>
        <w:keepNext w:val="0"/>
        <w:keepLines w:val="0"/>
        <w:pageBreakBefore w:val="0"/>
        <w:kinsoku/>
        <w:wordWrap/>
        <w:overflowPunct/>
        <w:topLinePunct w:val="0"/>
        <w:autoSpaceDE w:val="0"/>
        <w:autoSpaceDN w:val="0"/>
        <w:bidi w:val="0"/>
        <w:adjustRightInd w:val="0"/>
        <w:snapToGrid w:val="0"/>
        <w:spacing w:after="0" w:line="360" w:lineRule="auto"/>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发行方：</w:t>
      </w:r>
      <w:r>
        <w:rPr>
          <w:rFonts w:hint="eastAsia" w:asciiTheme="minorEastAsia" w:hAnsiTheme="minorEastAsia" w:eastAsiaTheme="minorEastAsia" w:cstheme="minorEastAsia"/>
          <w:sz w:val="28"/>
          <w:szCs w:val="28"/>
          <w:lang w:val="en-US" w:eastAsia="zh-CN"/>
        </w:rPr>
        <w:t>产投控股（香港）有限公司</w:t>
      </w:r>
    </w:p>
    <w:p>
      <w:pPr>
        <w:keepNext w:val="0"/>
        <w:keepLines w:val="0"/>
        <w:pageBreakBefore w:val="0"/>
        <w:kinsoku/>
        <w:wordWrap/>
        <w:overflowPunct/>
        <w:topLinePunct w:val="0"/>
        <w:autoSpaceDE w:val="0"/>
        <w:autoSpaceDN w:val="0"/>
        <w:bidi w:val="0"/>
        <w:adjustRightInd w:val="0"/>
        <w:snapToGrid w:val="0"/>
        <w:spacing w:after="0" w:line="360" w:lineRule="auto"/>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增信方：</w:t>
      </w:r>
      <w:r>
        <w:rPr>
          <w:rFonts w:hint="eastAsia" w:asciiTheme="minorEastAsia" w:hAnsiTheme="minorEastAsia" w:eastAsiaTheme="minorEastAsia" w:cstheme="minorEastAsia"/>
          <w:sz w:val="28"/>
          <w:szCs w:val="28"/>
          <w:lang w:val="en-US" w:eastAsia="zh-CN"/>
        </w:rPr>
        <w:t>合肥市产业投资控股（集团）有限公司</w:t>
      </w:r>
    </w:p>
    <w:p>
      <w:pPr>
        <w:keepNext w:val="0"/>
        <w:keepLines w:val="0"/>
        <w:pageBreakBefore w:val="0"/>
        <w:kinsoku/>
        <w:wordWrap/>
        <w:overflowPunct/>
        <w:topLinePunct w:val="0"/>
        <w:autoSpaceDE w:val="0"/>
        <w:autoSpaceDN w:val="0"/>
        <w:bidi w:val="0"/>
        <w:adjustRightInd w:val="0"/>
        <w:snapToGrid w:val="0"/>
        <w:spacing w:after="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发行规模：不超过</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亿美元</w:t>
      </w:r>
    </w:p>
    <w:p>
      <w:pPr>
        <w:keepNext w:val="0"/>
        <w:keepLines w:val="0"/>
        <w:pageBreakBefore w:val="0"/>
        <w:kinsoku/>
        <w:wordWrap/>
        <w:overflowPunct/>
        <w:topLinePunct w:val="0"/>
        <w:autoSpaceDE w:val="0"/>
        <w:autoSpaceDN w:val="0"/>
        <w:bidi w:val="0"/>
        <w:adjustRightInd w:val="0"/>
        <w:snapToGrid w:val="0"/>
        <w:spacing w:after="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发行期限：不超过5年</w:t>
      </w:r>
    </w:p>
    <w:p>
      <w:pPr>
        <w:keepNext w:val="0"/>
        <w:keepLines w:val="0"/>
        <w:pageBreakBefore w:val="0"/>
        <w:kinsoku/>
        <w:wordWrap/>
        <w:overflowPunct/>
        <w:topLinePunct w:val="0"/>
        <w:autoSpaceDE w:val="0"/>
        <w:autoSpaceDN w:val="0"/>
        <w:bidi w:val="0"/>
        <w:adjustRightInd w:val="0"/>
        <w:snapToGrid w:val="0"/>
        <w:spacing w:after="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发行计划：根据主管部门审批及发行方资金需求情况，一次性或分期发行</w:t>
      </w:r>
    </w:p>
    <w:p>
      <w:pPr>
        <w:keepNext w:val="0"/>
        <w:keepLines w:val="0"/>
        <w:pageBreakBefore w:val="0"/>
        <w:kinsoku/>
        <w:wordWrap/>
        <w:overflowPunct/>
        <w:topLinePunct w:val="0"/>
        <w:autoSpaceDE w:val="0"/>
        <w:autoSpaceDN w:val="0"/>
        <w:bidi w:val="0"/>
        <w:adjustRightInd w:val="0"/>
        <w:snapToGrid w:val="0"/>
        <w:spacing w:after="0"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发行及上市地点：香港</w:t>
      </w:r>
    </w:p>
    <w:p>
      <w:pPr>
        <w:pStyle w:val="15"/>
        <w:keepNext w:val="0"/>
        <w:keepLines w:val="0"/>
        <w:pageBreakBefore w:val="0"/>
        <w:kinsoku/>
        <w:wordWrap/>
        <w:overflowPunct/>
        <w:topLinePunct w:val="0"/>
        <w:bidi w:val="0"/>
        <w:adjustRightInd w:val="0"/>
        <w:snapToGrid w:val="0"/>
        <w:spacing w:line="360" w:lineRule="auto"/>
        <w:ind w:firstLine="562" w:firstLineChars="200"/>
        <w:jc w:val="both"/>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w:t>
      </w:r>
      <w:r>
        <w:rPr>
          <w:rFonts w:hint="eastAsia" w:asciiTheme="minorEastAsia" w:hAnsiTheme="minorEastAsia" w:eastAsiaTheme="minorEastAsia" w:cstheme="minorEastAsia"/>
          <w:b/>
          <w:sz w:val="28"/>
          <w:szCs w:val="28"/>
          <w:lang w:eastAsia="zh-CN"/>
        </w:rPr>
        <w:t>、</w:t>
      </w:r>
      <w:r>
        <w:rPr>
          <w:rFonts w:hint="eastAsia" w:asciiTheme="minorEastAsia" w:hAnsiTheme="minorEastAsia" w:eastAsiaTheme="minorEastAsia" w:cstheme="minorEastAsia"/>
          <w:b/>
          <w:sz w:val="28"/>
          <w:szCs w:val="28"/>
        </w:rPr>
        <w:t>工作成果</w:t>
      </w:r>
    </w:p>
    <w:p>
      <w:pPr>
        <w:pStyle w:val="16"/>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 xml:space="preserve"> 与其他中介机构合作，完成发行材料制作。</w:t>
      </w:r>
    </w:p>
    <w:p>
      <w:pPr>
        <w:pStyle w:val="16"/>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 xml:space="preserve"> 与评级机构沟通协调，取得招标人认可的债项评级。</w:t>
      </w:r>
    </w:p>
    <w:p>
      <w:pPr>
        <w:pStyle w:val="16"/>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 xml:space="preserve"> 协助招标人取得国家发改委备案登记证书。</w:t>
      </w:r>
    </w:p>
    <w:p>
      <w:pPr>
        <w:pStyle w:val="16"/>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 xml:space="preserve"> 协助招标人完成外债登记手续（如需要）。</w:t>
      </w:r>
    </w:p>
    <w:p>
      <w:pPr>
        <w:pStyle w:val="16"/>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 xml:space="preserve"> 完成债券发行、路演、定价及交割。</w:t>
      </w:r>
    </w:p>
    <w:p>
      <w:pPr>
        <w:pStyle w:val="16"/>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 xml:space="preserve"> 协助招标人做好债券汇率避险、还本付息、登记托管、信息披露等后续事宜。</w:t>
      </w:r>
    </w:p>
    <w:p>
      <w:pPr>
        <w:keepNext w:val="0"/>
        <w:keepLines w:val="0"/>
        <w:pageBreakBefore w:val="0"/>
        <w:kinsoku/>
        <w:wordWrap/>
        <w:overflowPunct/>
        <w:topLinePunct w:val="0"/>
        <w:bidi w:val="0"/>
        <w:adjustRightInd w:val="0"/>
        <w:snapToGrid w:val="0"/>
        <w:spacing w:after="0" w:line="360" w:lineRule="auto"/>
        <w:ind w:firstLine="562" w:firstLineChars="200"/>
        <w:textAlignment w:val="auto"/>
        <w:outlineLvl w:val="1"/>
        <w:rPr>
          <w:rFonts w:hint="eastAsia" w:asciiTheme="minorEastAsia" w:hAnsiTheme="minorEastAsia" w:eastAsiaTheme="minorEastAsia" w:cstheme="minorEastAsia"/>
          <w:b/>
          <w:kern w:val="0"/>
          <w:sz w:val="28"/>
          <w:szCs w:val="28"/>
          <w:lang w:val="en-US" w:eastAsia="zh-CN"/>
        </w:rPr>
      </w:pPr>
      <w:r>
        <w:rPr>
          <w:rFonts w:hint="eastAsia" w:asciiTheme="minorEastAsia" w:hAnsiTheme="minorEastAsia" w:eastAsiaTheme="minorEastAsia" w:cstheme="minorEastAsia"/>
          <w:b/>
          <w:kern w:val="0"/>
          <w:sz w:val="28"/>
          <w:szCs w:val="28"/>
          <w:lang w:val="en-US" w:eastAsia="zh-CN"/>
        </w:rPr>
        <w:t>3、最高限价</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sz w:val="28"/>
          <w:szCs w:val="28"/>
        </w:rPr>
      </w:pPr>
      <w:r>
        <w:rPr>
          <w:rFonts w:hint="eastAsia" w:asciiTheme="minorEastAsia" w:hAnsiTheme="minorEastAsia" w:eastAsiaTheme="minorEastAsia" w:cstheme="minorEastAsia"/>
          <w:color w:val="auto"/>
          <w:sz w:val="28"/>
          <w:szCs w:val="28"/>
          <w:lang w:val="en-US" w:eastAsia="zh-CN" w:bidi="ar-SA"/>
        </w:rPr>
        <w:t>本项目招标最高限价为总承销费率</w:t>
      </w:r>
      <w:r>
        <w:rPr>
          <w:rFonts w:hint="eastAsia" w:asciiTheme="minorEastAsia" w:hAnsiTheme="minorEastAsia" w:eastAsiaTheme="minorEastAsia" w:cstheme="minorEastAsia"/>
          <w:b/>
          <w:bCs/>
          <w:color w:val="auto"/>
          <w:sz w:val="28"/>
          <w:szCs w:val="28"/>
          <w:lang w:val="en-US" w:eastAsia="zh-CN" w:bidi="ar-SA"/>
        </w:rPr>
        <w:t>不超过0.6%</w:t>
      </w:r>
      <w:r>
        <w:rPr>
          <w:rFonts w:hint="eastAsia" w:asciiTheme="minorEastAsia" w:hAnsiTheme="minorEastAsia" w:eastAsiaTheme="minorEastAsia" w:cstheme="minorEastAsia"/>
          <w:color w:val="auto"/>
          <w:sz w:val="28"/>
          <w:szCs w:val="28"/>
          <w:lang w:val="en-US" w:eastAsia="zh-CN" w:bidi="ar-SA"/>
        </w:rPr>
        <w:t>。</w:t>
      </w:r>
    </w:p>
    <w:p>
      <w:pPr>
        <w:keepNext w:val="0"/>
        <w:keepLines w:val="0"/>
        <w:pageBreakBefore w:val="0"/>
        <w:kinsoku/>
        <w:wordWrap/>
        <w:overflowPunct/>
        <w:topLinePunct w:val="0"/>
        <w:bidi w:val="0"/>
        <w:adjustRightInd w:val="0"/>
        <w:snapToGrid w:val="0"/>
        <w:spacing w:after="0" w:line="360" w:lineRule="auto"/>
        <w:ind w:firstLine="562" w:firstLineChars="200"/>
        <w:textAlignment w:val="auto"/>
        <w:outlineLvl w:val="1"/>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val="en-US" w:eastAsia="zh-CN"/>
        </w:rPr>
        <w:t>4</w:t>
      </w:r>
      <w:r>
        <w:rPr>
          <w:rFonts w:hint="eastAsia" w:asciiTheme="minorEastAsia" w:hAnsiTheme="minorEastAsia" w:eastAsiaTheme="minorEastAsia" w:cstheme="minorEastAsia"/>
          <w:b/>
          <w:kern w:val="0"/>
          <w:sz w:val="28"/>
          <w:szCs w:val="28"/>
          <w:lang w:eastAsia="zh-CN"/>
        </w:rPr>
        <w:t>、</w:t>
      </w:r>
      <w:r>
        <w:rPr>
          <w:rFonts w:hint="eastAsia" w:asciiTheme="minorEastAsia" w:hAnsiTheme="minorEastAsia" w:eastAsiaTheme="minorEastAsia" w:cstheme="minorEastAsia"/>
          <w:b/>
          <w:kern w:val="0"/>
          <w:sz w:val="28"/>
          <w:szCs w:val="28"/>
        </w:rPr>
        <w:t>验收审核</w:t>
      </w:r>
    </w:p>
    <w:p>
      <w:pPr>
        <w:pStyle w:val="17"/>
        <w:keepNext w:val="0"/>
        <w:keepLines w:val="0"/>
        <w:pageBreakBefore w:val="0"/>
        <w:kinsoku/>
        <w:wordWrap/>
        <w:overflowPunct/>
        <w:topLinePunct w:val="0"/>
        <w:bidi w:val="0"/>
        <w:adjustRightInd w:val="0"/>
        <w:snapToGrid w:val="0"/>
        <w:spacing w:after="0" w:line="360" w:lineRule="auto"/>
        <w:ind w:firstLine="56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由招标人评审通过后方为合格。</w:t>
      </w:r>
    </w:p>
    <w:p>
      <w:pPr>
        <w:adjustRightInd w:val="0"/>
        <w:snapToGrid w:val="0"/>
        <w:spacing w:line="360" w:lineRule="auto"/>
        <w:jc w:val="center"/>
        <w:outlineLvl w:val="0"/>
        <w:rPr>
          <w:bCs/>
          <w:sz w:val="28"/>
          <w:szCs w:val="28"/>
        </w:rPr>
        <w:sectPr>
          <w:footerReference r:id="rId6" w:type="default"/>
          <w:footnotePr>
            <w:numFmt w:val="decimalEnclosedCircleChinese"/>
            <w:numRestart w:val="eachPage"/>
          </w:footnotePr>
          <w:pgSz w:w="11849" w:h="16781"/>
          <w:pgMar w:top="1418" w:right="1418" w:bottom="1418" w:left="1644" w:header="720" w:footer="720" w:gutter="0"/>
          <w:pgNumType w:fmt="decimal" w:start="1"/>
          <w:cols w:space="720" w:num="1"/>
          <w:docGrid w:linePitch="312" w:charSpace="0"/>
        </w:sect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sz w:val="56"/>
          <w:szCs w:val="56"/>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sz w:val="56"/>
          <w:szCs w:val="56"/>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sz w:val="56"/>
          <w:szCs w:val="56"/>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sz w:val="56"/>
          <w:szCs w:val="56"/>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sz w:val="56"/>
          <w:szCs w:val="56"/>
          <w:lang w:val="en-US" w:eastAsia="zh-CN"/>
        </w:rPr>
      </w:pPr>
    </w:p>
    <w:p>
      <w:pPr>
        <w:pStyle w:val="2"/>
        <w:numPr>
          <w:ilvl w:val="0"/>
          <w:numId w:val="4"/>
        </w:numPr>
        <w:bidi w:val="0"/>
        <w:jc w:val="center"/>
        <w:rPr>
          <w:rFonts w:hint="eastAsia" w:ascii="黑体" w:hAnsi="黑体" w:eastAsia="黑体" w:cs="黑体"/>
          <w:sz w:val="56"/>
          <w:szCs w:val="32"/>
          <w:lang w:val="en-US" w:eastAsia="zh-CN"/>
        </w:rPr>
      </w:pPr>
      <w:bookmarkStart w:id="3" w:name="_Toc16283"/>
      <w:r>
        <w:rPr>
          <w:rFonts w:hint="eastAsia" w:ascii="黑体" w:hAnsi="黑体" w:eastAsia="黑体" w:cs="黑体"/>
          <w:sz w:val="56"/>
          <w:szCs w:val="32"/>
          <w:lang w:val="en-US" w:eastAsia="zh-CN"/>
        </w:rPr>
        <w:t>评标办法</w:t>
      </w:r>
      <w:bookmarkEnd w:id="3"/>
    </w:p>
    <w:p>
      <w:pPr>
        <w:rPr>
          <w:rFonts w:hint="default" w:ascii="黑体" w:hAnsi="黑体" w:eastAsia="黑体" w:cs="黑体"/>
          <w:sz w:val="56"/>
          <w:szCs w:val="56"/>
          <w:lang w:val="en-US" w:eastAsia="zh-CN"/>
        </w:rPr>
      </w:pPr>
      <w:r>
        <w:rPr>
          <w:rFonts w:hint="default" w:ascii="黑体" w:hAnsi="黑体" w:eastAsia="黑体" w:cs="黑体"/>
          <w:sz w:val="56"/>
          <w:szCs w:val="56"/>
          <w:lang w:val="en-US" w:eastAsia="zh-CN"/>
        </w:rPr>
        <w:br w:type="page"/>
      </w:r>
    </w:p>
    <w:p>
      <w:pPr>
        <w:keepNext w:val="0"/>
        <w:keepLines w:val="0"/>
        <w:pageBreakBefore w:val="0"/>
        <w:widowControl/>
        <w:kinsoku/>
        <w:wordWrap/>
        <w:overflowPunct/>
        <w:topLinePunct w:val="0"/>
        <w:autoSpaceDE/>
        <w:autoSpaceDN/>
        <w:bidi w:val="0"/>
        <w:adjustRightInd w:val="0"/>
        <w:snapToGrid w:val="0"/>
        <w:spacing w:before="361" w:beforeLines="100" w:after="361" w:afterLines="100" w:line="220" w:lineRule="atLeast"/>
        <w:jc w:val="center"/>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第四章  评标办法</w:t>
      </w:r>
    </w:p>
    <w:p>
      <w:pPr>
        <w:pStyle w:val="16"/>
        <w:keepNext w:val="0"/>
        <w:keepLines w:val="0"/>
        <w:pageBreakBefore w:val="0"/>
        <w:kinsoku/>
        <w:wordWrap/>
        <w:overflowPunct/>
        <w:topLinePunct w:val="0"/>
        <w:bidi w:val="0"/>
        <w:adjustRightInd w:val="0"/>
        <w:snapToGrid w:val="0"/>
        <w:spacing w:line="360" w:lineRule="auto"/>
        <w:ind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1. 本项目评标采用综合评分法。</w:t>
      </w:r>
    </w:p>
    <w:p>
      <w:pPr>
        <w:pStyle w:val="16"/>
        <w:keepNext w:val="0"/>
        <w:keepLines w:val="0"/>
        <w:pageBreakBefore w:val="0"/>
        <w:kinsoku/>
        <w:wordWrap/>
        <w:overflowPunct/>
        <w:topLinePunct w:val="0"/>
        <w:bidi w:val="0"/>
        <w:adjustRightInd w:val="0"/>
        <w:snapToGrid w:val="0"/>
        <w:spacing w:line="360" w:lineRule="auto"/>
        <w:ind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2. 符合性和响应性审查</w:t>
      </w:r>
    </w:p>
    <w:p>
      <w:pPr>
        <w:pStyle w:val="16"/>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评标委员会首先对投标文件进行符合性及响应性审查，符合性及响应性审查内容包括：</w:t>
      </w:r>
    </w:p>
    <w:p>
      <w:pPr>
        <w:pStyle w:val="16"/>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 投标文件按照招标文件规定的格式、内容填写，字迹清晰可辨。</w:t>
      </w:r>
    </w:p>
    <w:p>
      <w:pPr>
        <w:pStyle w:val="16"/>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2.2 投标文件上法定代表人（负责人）或其授权代理人的签字、投标人的盖章齐全，符合招标文件规定。</w:t>
      </w:r>
    </w:p>
    <w:p>
      <w:pPr>
        <w:pStyle w:val="16"/>
        <w:keepNext w:val="0"/>
        <w:keepLines w:val="0"/>
        <w:pageBreakBefore w:val="0"/>
        <w:kinsoku/>
        <w:wordWrap/>
        <w:overflowPunct/>
        <w:topLinePunct w:val="0"/>
        <w:bidi w:val="0"/>
        <w:adjustRightInd w:val="0"/>
        <w:snapToGrid w:val="0"/>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 投标文件未附有招标人不能接受的条件。</w:t>
      </w:r>
    </w:p>
    <w:p>
      <w:pPr>
        <w:pStyle w:val="16"/>
        <w:keepNext w:val="0"/>
        <w:keepLines w:val="0"/>
        <w:pageBreakBefore w:val="0"/>
        <w:kinsoku/>
        <w:wordWrap/>
        <w:overflowPunct/>
        <w:topLinePunct w:val="0"/>
        <w:bidi w:val="0"/>
        <w:adjustRightInd w:val="0"/>
        <w:snapToGrid w:val="0"/>
        <w:spacing w:line="360" w:lineRule="auto"/>
        <w:ind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 资格审查</w:t>
      </w:r>
    </w:p>
    <w:p>
      <w:pPr>
        <w:keepNext w:val="0"/>
        <w:keepLines w:val="0"/>
        <w:pageBreakBefore w:val="0"/>
        <w:kinsoku/>
        <w:wordWrap/>
        <w:overflowPunct/>
        <w:topLinePunct w:val="0"/>
        <w:bidi w:val="0"/>
        <w:adjustRightInd w:val="0"/>
        <w:snapToGrid w:val="0"/>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投标人应具有境外债券承销资格。</w:t>
      </w:r>
    </w:p>
    <w:p>
      <w:pPr>
        <w:keepNext w:val="0"/>
        <w:keepLines w:val="0"/>
        <w:pageBreakBefore w:val="0"/>
        <w:kinsoku/>
        <w:wordWrap/>
        <w:overflowPunct/>
        <w:topLinePunct w:val="0"/>
        <w:bidi w:val="0"/>
        <w:adjustRightInd w:val="0"/>
        <w:snapToGrid w:val="0"/>
        <w:spacing w:after="0"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出具未在最近三年内因骗取中标或严重违约等情形受到相关机构处罚的承诺函。</w:t>
      </w:r>
    </w:p>
    <w:p>
      <w:pPr>
        <w:keepNext w:val="0"/>
        <w:keepLines w:val="0"/>
        <w:pageBreakBefore w:val="0"/>
        <w:kinsoku/>
        <w:wordWrap/>
        <w:overflowPunct/>
        <w:topLinePunct w:val="0"/>
        <w:bidi w:val="0"/>
        <w:adjustRightInd w:val="0"/>
        <w:snapToGrid w:val="0"/>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本次招标不接受联合体投标，本项目严禁转包及非法分包。</w:t>
      </w:r>
    </w:p>
    <w:p>
      <w:pPr>
        <w:keepNext w:val="0"/>
        <w:keepLines w:val="0"/>
        <w:pageBreakBefore w:val="0"/>
        <w:kinsoku/>
        <w:wordWrap/>
        <w:overflowPunct/>
        <w:topLinePunct w:val="0"/>
        <w:bidi w:val="0"/>
        <w:adjustRightInd w:val="0"/>
        <w:snapToGrid w:val="0"/>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 单位负责人为同一人或者存在控股、管理关系的不同单位，不得同时参加投标。</w:t>
      </w:r>
    </w:p>
    <w:p>
      <w:pPr>
        <w:pStyle w:val="16"/>
        <w:keepNext w:val="0"/>
        <w:keepLines w:val="0"/>
        <w:pageBreakBefore w:val="0"/>
        <w:kinsoku/>
        <w:wordWrap/>
        <w:overflowPunct/>
        <w:topLinePunct w:val="0"/>
        <w:bidi w:val="0"/>
        <w:adjustRightInd w:val="0"/>
        <w:snapToGrid w:val="0"/>
        <w:spacing w:line="360" w:lineRule="auto"/>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color w:val="auto"/>
          <w:sz w:val="28"/>
          <w:szCs w:val="28"/>
        </w:rPr>
        <w:t>4.</w:t>
      </w:r>
      <w:r>
        <w:rPr>
          <w:rFonts w:hint="eastAsia" w:ascii="宋体" w:hAnsi="宋体" w:eastAsia="宋体" w:cs="宋体"/>
          <w:color w:val="auto"/>
          <w:sz w:val="28"/>
          <w:szCs w:val="28"/>
        </w:rPr>
        <w:t>评标委员会按照综合得分由高到低的顺序推荐</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名</w:t>
      </w:r>
      <w:r>
        <w:rPr>
          <w:rFonts w:hint="eastAsia" w:ascii="宋体" w:hAnsi="宋体" w:eastAsia="宋体" w:cs="宋体"/>
          <w:color w:val="auto"/>
          <w:sz w:val="28"/>
          <w:szCs w:val="28"/>
        </w:rPr>
        <w:t>中标候选人</w:t>
      </w:r>
      <w:r>
        <w:rPr>
          <w:rFonts w:hint="eastAsia" w:ascii="宋体" w:hAnsi="宋体" w:eastAsia="宋体" w:cs="宋体"/>
          <w:color w:val="auto"/>
          <w:sz w:val="28"/>
          <w:szCs w:val="28"/>
          <w:lang w:eastAsia="zh-CN"/>
        </w:rPr>
        <w:t>。</w:t>
      </w:r>
      <w:r>
        <w:rPr>
          <w:rFonts w:hint="eastAsia" w:ascii="宋体" w:hAnsi="宋体" w:eastAsia="宋体" w:cs="宋体"/>
          <w:sz w:val="28"/>
          <w:szCs w:val="28"/>
        </w:rPr>
        <w:t>若综合得分相同，按以下标准排序：</w:t>
      </w:r>
    </w:p>
    <w:p>
      <w:pPr>
        <w:keepNext w:val="0"/>
        <w:keepLines w:val="0"/>
        <w:pageBreakBefore w:val="0"/>
        <w:kinsoku/>
        <w:wordWrap/>
        <w:overflowPunct/>
        <w:topLinePunct w:val="0"/>
        <w:bidi w:val="0"/>
        <w:adjustRightInd w:val="0"/>
        <w:snapToGrid w:val="0"/>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（1）以承销佣金报价值较低者优先。</w:t>
      </w:r>
    </w:p>
    <w:p>
      <w:pPr>
        <w:keepNext w:val="0"/>
        <w:keepLines w:val="0"/>
        <w:pageBreakBefore w:val="0"/>
        <w:kinsoku/>
        <w:wordWrap/>
        <w:overflowPunct/>
        <w:topLinePunct w:val="0"/>
        <w:bidi w:val="0"/>
        <w:adjustRightInd w:val="0"/>
        <w:snapToGrid w:val="0"/>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（2）如承销佣金报价值相同，以</w:t>
      </w:r>
      <w:r>
        <w:rPr>
          <w:rFonts w:hint="eastAsia" w:ascii="宋体" w:hAnsi="宋体" w:eastAsia="宋体" w:cs="宋体"/>
          <w:sz w:val="28"/>
          <w:szCs w:val="28"/>
          <w:lang w:val="en-US" w:eastAsia="zh-CN"/>
        </w:rPr>
        <w:t>承销经验</w:t>
      </w:r>
      <w:r>
        <w:rPr>
          <w:rFonts w:hint="eastAsia" w:ascii="宋体" w:hAnsi="宋体" w:eastAsia="宋体" w:cs="宋体"/>
          <w:sz w:val="28"/>
          <w:szCs w:val="28"/>
        </w:rPr>
        <w:t>得分较高者优先。</w:t>
      </w:r>
    </w:p>
    <w:p>
      <w:pPr>
        <w:keepNext w:val="0"/>
        <w:keepLines w:val="0"/>
        <w:pageBreakBefore w:val="0"/>
        <w:kinsoku/>
        <w:wordWrap/>
        <w:overflowPunct/>
        <w:topLinePunct w:val="0"/>
        <w:bidi w:val="0"/>
        <w:adjustRightInd w:val="0"/>
        <w:snapToGrid w:val="0"/>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（3）如上述两项均相同，</w:t>
      </w:r>
      <w:r>
        <w:rPr>
          <w:rFonts w:hint="eastAsia" w:ascii="宋体" w:hAnsi="宋体" w:eastAsia="宋体" w:cs="宋体"/>
          <w:sz w:val="28"/>
          <w:szCs w:val="28"/>
          <w:lang w:val="en-US" w:eastAsia="zh-CN"/>
        </w:rPr>
        <w:t>由评标委员会抽签决定</w:t>
      </w:r>
      <w:r>
        <w:rPr>
          <w:rFonts w:hint="eastAsia" w:ascii="宋体" w:hAnsi="宋体" w:eastAsia="宋体" w:cs="宋体"/>
          <w:sz w:val="28"/>
          <w:szCs w:val="28"/>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firstLine="562" w:firstLineChars="200"/>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rPr>
        <w:t>5.</w:t>
      </w:r>
      <w:r>
        <w:rPr>
          <w:rFonts w:hint="eastAsia" w:ascii="宋体" w:hAnsi="宋体" w:eastAsia="宋体" w:cs="宋体"/>
          <w:b/>
          <w:bCs/>
          <w:sz w:val="28"/>
          <w:szCs w:val="28"/>
        </w:rPr>
        <w:t>如果确定的</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名</w:t>
      </w:r>
      <w:r>
        <w:rPr>
          <w:rFonts w:hint="eastAsia" w:ascii="宋体" w:hAnsi="宋体" w:eastAsia="宋体" w:cs="宋体"/>
          <w:b/>
          <w:bCs/>
          <w:sz w:val="28"/>
          <w:szCs w:val="28"/>
          <w:lang w:val="en-US" w:eastAsia="zh-CN"/>
        </w:rPr>
        <w:t>中标候选人</w:t>
      </w:r>
      <w:r>
        <w:rPr>
          <w:rFonts w:hint="eastAsia" w:ascii="宋体" w:hAnsi="宋体" w:eastAsia="宋体" w:cs="宋体"/>
          <w:b/>
          <w:bCs/>
          <w:sz w:val="28"/>
          <w:szCs w:val="28"/>
        </w:rPr>
        <w:t>关于“承销佣金”报价存在差异，以</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名</w:t>
      </w:r>
      <w:r>
        <w:rPr>
          <w:rFonts w:hint="eastAsia" w:ascii="宋体" w:hAnsi="宋体" w:eastAsia="宋体" w:cs="宋体"/>
          <w:b/>
          <w:bCs/>
          <w:sz w:val="28"/>
          <w:szCs w:val="28"/>
          <w:lang w:val="en-US" w:eastAsia="zh-CN"/>
        </w:rPr>
        <w:t>中标候选人</w:t>
      </w:r>
      <w:r>
        <w:rPr>
          <w:rFonts w:hint="eastAsia" w:ascii="宋体" w:hAnsi="宋体" w:eastAsia="宋体" w:cs="宋体"/>
          <w:b/>
          <w:bCs/>
          <w:sz w:val="28"/>
          <w:szCs w:val="28"/>
        </w:rPr>
        <w:t>中所报承销佣金最低值为依据签订合同。</w:t>
      </w:r>
      <w:r>
        <w:rPr>
          <w:rFonts w:hint="eastAsia" w:ascii="宋体" w:hAnsi="宋体" w:eastAsia="宋体" w:cs="宋体"/>
          <w:b/>
          <w:bCs/>
          <w:sz w:val="28"/>
          <w:szCs w:val="28"/>
          <w:highlight w:val="none"/>
          <w:lang w:val="en-US" w:eastAsia="zh-CN"/>
        </w:rPr>
        <w:t>若中标候选人人不接受此条件的，则由第五名替补，以此类推。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firstLine="442" w:firstLineChars="200"/>
        <w:jc w:val="both"/>
        <w:textAlignment w:val="auto"/>
        <w:rPr>
          <w:rFonts w:hint="eastAsia" w:ascii="宋体" w:hAnsi="宋体" w:eastAsia="宋体" w:cs="宋体"/>
          <w:b/>
          <w:bCs/>
          <w:sz w:val="22"/>
          <w:szCs w:val="22"/>
        </w:rPr>
      </w:pPr>
    </w:p>
    <w:tbl>
      <w:tblPr>
        <w:tblStyle w:val="9"/>
        <w:tblW w:w="10298" w:type="dxa"/>
        <w:jc w:val="center"/>
        <w:tblLayout w:type="fixed"/>
        <w:tblCellMar>
          <w:top w:w="0" w:type="dxa"/>
          <w:left w:w="108" w:type="dxa"/>
          <w:bottom w:w="0" w:type="dxa"/>
          <w:right w:w="108" w:type="dxa"/>
        </w:tblCellMar>
      </w:tblPr>
      <w:tblGrid>
        <w:gridCol w:w="432"/>
        <w:gridCol w:w="1193"/>
        <w:gridCol w:w="873"/>
        <w:gridCol w:w="6968"/>
        <w:gridCol w:w="832"/>
      </w:tblGrid>
      <w:tr>
        <w:tblPrEx>
          <w:tblCellMar>
            <w:top w:w="0" w:type="dxa"/>
            <w:left w:w="108" w:type="dxa"/>
            <w:bottom w:w="0" w:type="dxa"/>
            <w:right w:w="108" w:type="dxa"/>
          </w:tblCellMar>
        </w:tblPrEx>
        <w:trPr>
          <w:trHeight w:val="90" w:hRule="atLeast"/>
          <w:tblHeader/>
          <w:jc w:val="center"/>
        </w:trPr>
        <w:tc>
          <w:tcPr>
            <w:tcW w:w="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szCs w:val="21"/>
              </w:rPr>
            </w:pPr>
            <w:r>
              <w:rPr>
                <w:rFonts w:hint="eastAsia" w:ascii="宋体" w:hAnsi="宋体" w:eastAsia="宋体" w:cs="宋体"/>
                <w:b/>
                <w:szCs w:val="21"/>
              </w:rPr>
              <w:t>序号</w:t>
            </w:r>
          </w:p>
        </w:tc>
        <w:tc>
          <w:tcPr>
            <w:tcW w:w="11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szCs w:val="21"/>
              </w:rPr>
            </w:pPr>
            <w:r>
              <w:rPr>
                <w:rFonts w:hint="eastAsia" w:ascii="宋体" w:hAnsi="宋体" w:eastAsia="宋体" w:cs="宋体"/>
                <w:b/>
                <w:szCs w:val="21"/>
              </w:rPr>
              <w:t>评分子项</w:t>
            </w: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分值</w:t>
            </w:r>
          </w:p>
        </w:tc>
        <w:tc>
          <w:tcPr>
            <w:tcW w:w="69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szCs w:val="21"/>
              </w:rPr>
            </w:pPr>
            <w:r>
              <w:rPr>
                <w:rFonts w:hint="eastAsia" w:ascii="宋体" w:hAnsi="宋体" w:eastAsia="宋体" w:cs="宋体"/>
                <w:b/>
                <w:szCs w:val="21"/>
              </w:rPr>
              <w:t>评分标准、依据</w:t>
            </w:r>
          </w:p>
        </w:tc>
        <w:tc>
          <w:tcPr>
            <w:tcW w:w="8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分项分值</w:t>
            </w:r>
          </w:p>
        </w:tc>
      </w:tr>
      <w:tr>
        <w:tblPrEx>
          <w:tblCellMar>
            <w:top w:w="0" w:type="dxa"/>
            <w:left w:w="108" w:type="dxa"/>
            <w:bottom w:w="0" w:type="dxa"/>
            <w:right w:w="108" w:type="dxa"/>
          </w:tblCellMar>
        </w:tblPrEx>
        <w:trPr>
          <w:trHeight w:val="90" w:hRule="atLeast"/>
          <w:jc w:val="center"/>
        </w:trPr>
        <w:tc>
          <w:tcPr>
            <w:tcW w:w="43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r>
              <w:rPr>
                <w:rFonts w:hint="eastAsia" w:ascii="宋体" w:hAnsi="宋体" w:eastAsia="宋体" w:cs="宋体"/>
                <w:szCs w:val="20"/>
              </w:rPr>
              <w:t>一</w:t>
            </w:r>
          </w:p>
        </w:tc>
        <w:tc>
          <w:tcPr>
            <w:tcW w:w="1193"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r>
              <w:rPr>
                <w:rFonts w:hint="eastAsia" w:ascii="宋体" w:hAnsi="宋体" w:eastAsia="宋体" w:cs="宋体"/>
                <w:szCs w:val="20"/>
              </w:rPr>
              <w:t xml:space="preserve">投标人自身国际信用评级情况 </w:t>
            </w:r>
          </w:p>
        </w:tc>
        <w:tc>
          <w:tcPr>
            <w:tcW w:w="873"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7</w:t>
            </w:r>
          </w:p>
        </w:tc>
        <w:tc>
          <w:tcPr>
            <w:tcW w:w="69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r>
              <w:rPr>
                <w:rFonts w:hint="eastAsia" w:ascii="宋体" w:hAnsi="宋体" w:eastAsia="宋体" w:cs="宋体"/>
                <w:szCs w:val="20"/>
              </w:rPr>
              <w:t>标普、穆迪或惠誉BBB+或以上评级：</w:t>
            </w:r>
            <w:r>
              <w:rPr>
                <w:rFonts w:hint="eastAsia" w:ascii="宋体" w:hAnsi="宋体" w:eastAsia="宋体" w:cs="宋体"/>
                <w:szCs w:val="20"/>
                <w:lang w:val="en-US" w:eastAsia="zh-CN"/>
              </w:rPr>
              <w:t>7</w:t>
            </w:r>
            <w:r>
              <w:rPr>
                <w:rFonts w:hint="eastAsia" w:ascii="宋体" w:hAnsi="宋体" w:eastAsia="宋体" w:cs="宋体"/>
                <w:szCs w:val="20"/>
              </w:rPr>
              <w:t xml:space="preserve">分 </w:t>
            </w:r>
          </w:p>
        </w:tc>
        <w:tc>
          <w:tcPr>
            <w:tcW w:w="83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lang w:eastAsia="zh-CN"/>
              </w:rPr>
            </w:pPr>
            <w:r>
              <w:rPr>
                <w:rFonts w:hint="eastAsia" w:ascii="宋体" w:hAnsi="宋体" w:eastAsia="宋体" w:cs="宋体"/>
                <w:szCs w:val="20"/>
                <w:lang w:val="en-US" w:eastAsia="zh-CN"/>
              </w:rPr>
              <w:t>7</w:t>
            </w:r>
          </w:p>
        </w:tc>
      </w:tr>
      <w:tr>
        <w:tblPrEx>
          <w:tblCellMar>
            <w:top w:w="0" w:type="dxa"/>
            <w:left w:w="108" w:type="dxa"/>
            <w:bottom w:w="0" w:type="dxa"/>
            <w:right w:w="108" w:type="dxa"/>
          </w:tblCellMar>
        </w:tblPrEx>
        <w:trPr>
          <w:trHeight w:val="90" w:hRule="atLeast"/>
          <w:jc w:val="center"/>
        </w:trPr>
        <w:tc>
          <w:tcPr>
            <w:tcW w:w="4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p>
        </w:tc>
        <w:tc>
          <w:tcPr>
            <w:tcW w:w="119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p>
        </w:tc>
        <w:tc>
          <w:tcPr>
            <w:tcW w:w="873"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rPr>
            </w:pPr>
          </w:p>
        </w:tc>
        <w:tc>
          <w:tcPr>
            <w:tcW w:w="69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r>
              <w:rPr>
                <w:rFonts w:hint="eastAsia" w:ascii="宋体" w:hAnsi="宋体" w:eastAsia="宋体" w:cs="宋体"/>
                <w:szCs w:val="20"/>
              </w:rPr>
              <w:t>标普、穆迪或惠誉BBB：</w:t>
            </w:r>
            <w:r>
              <w:rPr>
                <w:rFonts w:hint="eastAsia" w:ascii="宋体" w:hAnsi="宋体" w:eastAsia="宋体" w:cs="宋体"/>
                <w:szCs w:val="20"/>
                <w:lang w:val="en-US" w:eastAsia="zh-CN"/>
              </w:rPr>
              <w:t>5</w:t>
            </w:r>
            <w:r>
              <w:rPr>
                <w:rFonts w:hint="eastAsia" w:ascii="宋体" w:hAnsi="宋体" w:eastAsia="宋体" w:cs="宋体"/>
                <w:szCs w:val="20"/>
              </w:rPr>
              <w:t xml:space="preserve">分 </w:t>
            </w:r>
          </w:p>
        </w:tc>
        <w:tc>
          <w:tcPr>
            <w:tcW w:w="8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rPr>
            </w:pPr>
          </w:p>
        </w:tc>
      </w:tr>
      <w:tr>
        <w:tblPrEx>
          <w:tblCellMar>
            <w:top w:w="0" w:type="dxa"/>
            <w:left w:w="108" w:type="dxa"/>
            <w:bottom w:w="0" w:type="dxa"/>
            <w:right w:w="108" w:type="dxa"/>
          </w:tblCellMar>
        </w:tblPrEx>
        <w:trPr>
          <w:trHeight w:val="90" w:hRule="atLeast"/>
          <w:jc w:val="center"/>
        </w:trPr>
        <w:tc>
          <w:tcPr>
            <w:tcW w:w="4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p>
        </w:tc>
        <w:tc>
          <w:tcPr>
            <w:tcW w:w="119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p>
        </w:tc>
        <w:tc>
          <w:tcPr>
            <w:tcW w:w="873"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rPr>
            </w:pPr>
          </w:p>
        </w:tc>
        <w:tc>
          <w:tcPr>
            <w:tcW w:w="69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r>
              <w:rPr>
                <w:rFonts w:hint="eastAsia" w:ascii="宋体" w:hAnsi="宋体" w:eastAsia="宋体" w:cs="宋体"/>
                <w:szCs w:val="20"/>
              </w:rPr>
              <w:t>标普、穆迪或惠誉BBB-：</w:t>
            </w:r>
            <w:r>
              <w:rPr>
                <w:rFonts w:hint="eastAsia" w:ascii="宋体" w:hAnsi="宋体" w:eastAsia="宋体" w:cs="宋体"/>
                <w:szCs w:val="20"/>
                <w:lang w:val="en-US" w:eastAsia="zh-CN"/>
              </w:rPr>
              <w:t>3</w:t>
            </w:r>
            <w:r>
              <w:rPr>
                <w:rFonts w:hint="eastAsia" w:ascii="宋体" w:hAnsi="宋体" w:eastAsia="宋体" w:cs="宋体"/>
                <w:szCs w:val="20"/>
              </w:rPr>
              <w:t xml:space="preserve">分 </w:t>
            </w:r>
          </w:p>
        </w:tc>
        <w:tc>
          <w:tcPr>
            <w:tcW w:w="8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rPr>
            </w:pPr>
          </w:p>
        </w:tc>
      </w:tr>
      <w:tr>
        <w:tblPrEx>
          <w:tblCellMar>
            <w:top w:w="0" w:type="dxa"/>
            <w:left w:w="108" w:type="dxa"/>
            <w:bottom w:w="0" w:type="dxa"/>
            <w:right w:w="108" w:type="dxa"/>
          </w:tblCellMar>
        </w:tblPrEx>
        <w:trPr>
          <w:trHeight w:val="90" w:hRule="atLeast"/>
          <w:jc w:val="center"/>
        </w:trPr>
        <w:tc>
          <w:tcPr>
            <w:tcW w:w="4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p>
        </w:tc>
        <w:tc>
          <w:tcPr>
            <w:tcW w:w="119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p>
        </w:tc>
        <w:tc>
          <w:tcPr>
            <w:tcW w:w="873"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rPr>
            </w:pPr>
          </w:p>
        </w:tc>
        <w:tc>
          <w:tcPr>
            <w:tcW w:w="69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default" w:ascii="宋体" w:hAnsi="宋体" w:eastAsia="宋体" w:cs="宋体"/>
                <w:szCs w:val="20"/>
                <w:lang w:val="en-US" w:eastAsia="zh-CN"/>
              </w:rPr>
            </w:pPr>
            <w:r>
              <w:rPr>
                <w:rFonts w:hint="eastAsia" w:ascii="宋体" w:hAnsi="宋体" w:eastAsia="宋体" w:cs="宋体"/>
                <w:szCs w:val="20"/>
              </w:rPr>
              <w:t>标普、穆迪或惠誉BBB-以下或无国际评级：</w:t>
            </w:r>
            <w:r>
              <w:rPr>
                <w:rFonts w:hint="eastAsia" w:ascii="宋体" w:hAnsi="宋体" w:eastAsia="宋体" w:cs="宋体"/>
                <w:szCs w:val="20"/>
                <w:lang w:val="en-US" w:eastAsia="zh-CN"/>
              </w:rPr>
              <w:t>1分</w:t>
            </w:r>
          </w:p>
        </w:tc>
        <w:tc>
          <w:tcPr>
            <w:tcW w:w="8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rPr>
            </w:pPr>
          </w:p>
        </w:tc>
      </w:tr>
      <w:tr>
        <w:tblPrEx>
          <w:tblCellMar>
            <w:top w:w="0" w:type="dxa"/>
            <w:left w:w="108" w:type="dxa"/>
            <w:bottom w:w="0" w:type="dxa"/>
            <w:right w:w="108" w:type="dxa"/>
          </w:tblCellMar>
        </w:tblPrEx>
        <w:trPr>
          <w:trHeight w:val="436" w:hRule="atLeast"/>
          <w:jc w:val="center"/>
        </w:trPr>
        <w:tc>
          <w:tcPr>
            <w:tcW w:w="432"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r>
              <w:rPr>
                <w:rFonts w:hint="eastAsia" w:ascii="宋体" w:hAnsi="宋体" w:eastAsia="宋体" w:cs="宋体"/>
                <w:szCs w:val="20"/>
              </w:rPr>
              <w:t xml:space="preserve">二 </w:t>
            </w:r>
          </w:p>
        </w:tc>
        <w:tc>
          <w:tcPr>
            <w:tcW w:w="119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r>
              <w:rPr>
                <w:rFonts w:hint="eastAsia" w:ascii="宋体" w:hAnsi="宋体" w:eastAsia="宋体" w:cs="宋体"/>
                <w:szCs w:val="20"/>
              </w:rPr>
              <w:t>承销经验</w:t>
            </w:r>
          </w:p>
        </w:tc>
        <w:tc>
          <w:tcPr>
            <w:tcW w:w="873" w:type="dxa"/>
            <w:tcBorders>
              <w:top w:val="nil"/>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eastAsia="宋体" w:cs="宋体"/>
                <w:szCs w:val="20"/>
                <w:lang w:val="en-US" w:eastAsia="zh-CN"/>
              </w:rPr>
            </w:pPr>
            <w:r>
              <w:rPr>
                <w:rFonts w:hint="eastAsia" w:ascii="宋体" w:hAnsi="宋体" w:eastAsia="宋体" w:cs="宋体"/>
                <w:szCs w:val="20"/>
                <w:lang w:val="en-US" w:eastAsia="zh-CN"/>
              </w:rPr>
              <w:t>10</w:t>
            </w:r>
          </w:p>
        </w:tc>
        <w:tc>
          <w:tcPr>
            <w:tcW w:w="6968" w:type="dxa"/>
            <w:tcBorders>
              <w:top w:val="nil"/>
              <w:left w:val="nil"/>
              <w:right w:val="single" w:color="auto" w:sz="4" w:space="0"/>
            </w:tcBorders>
            <w:shd w:val="clear" w:color="auto" w:fill="auto"/>
            <w:vAlign w:val="center"/>
          </w:tcPr>
          <w:p>
            <w:pPr>
              <w:spacing w:after="0"/>
              <w:jc w:val="both"/>
              <w:rPr>
                <w:rFonts w:ascii="宋体" w:hAnsi="宋体" w:eastAsia="宋体" w:cs="宋体"/>
                <w:szCs w:val="20"/>
              </w:rPr>
            </w:pPr>
            <w:r>
              <w:rPr>
                <w:rFonts w:hint="eastAsia" w:ascii="宋体" w:hAnsi="宋体" w:eastAsia="宋体" w:cs="宋体"/>
                <w:szCs w:val="20"/>
              </w:rPr>
              <w:t>根据投标人（与其母公司合并评价的以合并评价结果为准）在彭博终端计入承销排名的项目统计中，自2016年1月1日至2019年11月30日作为全球协调人，承销亚洲（除日本）G3（仅限惠普或穆迪或标普评级结果）&amp;发行规模1亿美元以上交易&amp;长期限（540天以上）的债券额度进行评价：</w:t>
            </w:r>
          </w:p>
          <w:p>
            <w:pPr>
              <w:spacing w:after="0"/>
              <w:jc w:val="both"/>
              <w:rPr>
                <w:rFonts w:ascii="宋体" w:hAnsi="宋体" w:eastAsia="宋体" w:cs="宋体"/>
                <w:szCs w:val="20"/>
              </w:rPr>
            </w:pPr>
            <w:r>
              <w:rPr>
                <w:rFonts w:hint="eastAsia" w:ascii="宋体" w:hAnsi="宋体" w:eastAsia="宋体" w:cs="宋体"/>
                <w:szCs w:val="20"/>
              </w:rPr>
              <w:t>承销金额合计在1</w:t>
            </w:r>
            <w:r>
              <w:rPr>
                <w:rFonts w:ascii="宋体" w:hAnsi="宋体" w:eastAsia="宋体" w:cs="宋体"/>
                <w:szCs w:val="20"/>
              </w:rPr>
              <w:t>5</w:t>
            </w:r>
            <w:r>
              <w:rPr>
                <w:rFonts w:hint="eastAsia" w:ascii="宋体" w:hAnsi="宋体" w:eastAsia="宋体" w:cs="宋体"/>
                <w:szCs w:val="20"/>
              </w:rPr>
              <w:t>0亿（含）美元以上的，得10分；</w:t>
            </w:r>
          </w:p>
          <w:p>
            <w:pPr>
              <w:spacing w:after="0"/>
              <w:jc w:val="both"/>
              <w:rPr>
                <w:rFonts w:ascii="宋体" w:hAnsi="宋体" w:eastAsia="宋体" w:cs="宋体"/>
                <w:szCs w:val="20"/>
              </w:rPr>
            </w:pPr>
            <w:r>
              <w:rPr>
                <w:rFonts w:hint="eastAsia" w:ascii="宋体" w:hAnsi="宋体" w:eastAsia="宋体" w:cs="宋体"/>
                <w:szCs w:val="20"/>
              </w:rPr>
              <w:t>承销金额合计在</w:t>
            </w:r>
            <w:r>
              <w:rPr>
                <w:rFonts w:ascii="宋体" w:hAnsi="宋体" w:eastAsia="宋体" w:cs="宋体"/>
                <w:szCs w:val="20"/>
              </w:rPr>
              <w:t>10</w:t>
            </w:r>
            <w:r>
              <w:rPr>
                <w:rFonts w:hint="eastAsia" w:ascii="宋体" w:hAnsi="宋体" w:eastAsia="宋体" w:cs="宋体"/>
                <w:szCs w:val="20"/>
              </w:rPr>
              <w:t>0亿美元（含）至1</w:t>
            </w:r>
            <w:r>
              <w:rPr>
                <w:rFonts w:hint="eastAsia" w:ascii="宋体" w:hAnsi="宋体" w:eastAsia="宋体" w:cs="宋体"/>
                <w:szCs w:val="20"/>
                <w:lang w:val="en-US" w:eastAsia="zh-CN"/>
              </w:rPr>
              <w:t>5</w:t>
            </w:r>
            <w:r>
              <w:rPr>
                <w:rFonts w:hint="eastAsia" w:ascii="宋体" w:hAnsi="宋体" w:eastAsia="宋体" w:cs="宋体"/>
                <w:szCs w:val="20"/>
              </w:rPr>
              <w:t>0亿美元之间的，得7分；</w:t>
            </w:r>
          </w:p>
          <w:p>
            <w:pPr>
              <w:spacing w:after="0"/>
              <w:jc w:val="both"/>
              <w:rPr>
                <w:rFonts w:ascii="宋体" w:hAnsi="宋体" w:eastAsia="宋体" w:cs="宋体"/>
                <w:szCs w:val="20"/>
              </w:rPr>
            </w:pPr>
            <w:r>
              <w:rPr>
                <w:rFonts w:hint="eastAsia" w:ascii="宋体" w:hAnsi="宋体" w:eastAsia="宋体" w:cs="宋体"/>
                <w:szCs w:val="20"/>
              </w:rPr>
              <w:t>承销金额合计在</w:t>
            </w:r>
            <w:r>
              <w:rPr>
                <w:rFonts w:hint="eastAsia" w:ascii="宋体" w:hAnsi="宋体" w:eastAsia="宋体" w:cs="宋体"/>
                <w:szCs w:val="20"/>
                <w:lang w:val="en-US" w:eastAsia="zh-CN"/>
              </w:rPr>
              <w:t>50</w:t>
            </w:r>
            <w:r>
              <w:rPr>
                <w:rFonts w:hint="eastAsia" w:ascii="宋体" w:hAnsi="宋体" w:eastAsia="宋体" w:cs="宋体"/>
                <w:szCs w:val="20"/>
              </w:rPr>
              <w:t>亿美元（含）至</w:t>
            </w:r>
            <w:r>
              <w:rPr>
                <w:rFonts w:hint="eastAsia" w:ascii="宋体" w:hAnsi="宋体" w:eastAsia="宋体" w:cs="宋体"/>
                <w:szCs w:val="20"/>
                <w:lang w:val="en-US" w:eastAsia="zh-CN"/>
              </w:rPr>
              <w:t>10</w:t>
            </w:r>
            <w:r>
              <w:rPr>
                <w:rFonts w:hint="eastAsia" w:ascii="宋体" w:hAnsi="宋体" w:eastAsia="宋体" w:cs="宋体"/>
                <w:szCs w:val="20"/>
              </w:rPr>
              <w:t>0亿美元之间的，得4分；</w:t>
            </w:r>
          </w:p>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default" w:ascii="宋体" w:hAnsi="宋体" w:eastAsia="宋体" w:cs="宋体"/>
                <w:szCs w:val="20"/>
                <w:lang w:val="en-US" w:eastAsia="zh-CN"/>
              </w:rPr>
            </w:pPr>
            <w:r>
              <w:rPr>
                <w:rFonts w:hint="eastAsia" w:ascii="宋体" w:hAnsi="宋体" w:eastAsia="宋体" w:cs="宋体"/>
                <w:szCs w:val="20"/>
              </w:rPr>
              <w:t>承销金额合计低于</w:t>
            </w:r>
            <w:r>
              <w:rPr>
                <w:rFonts w:ascii="宋体" w:hAnsi="宋体" w:eastAsia="宋体" w:cs="宋体"/>
                <w:szCs w:val="20"/>
              </w:rPr>
              <w:t>5</w:t>
            </w:r>
            <w:r>
              <w:rPr>
                <w:rFonts w:hint="eastAsia" w:ascii="宋体" w:hAnsi="宋体" w:eastAsia="宋体" w:cs="宋体"/>
                <w:szCs w:val="20"/>
              </w:rPr>
              <w:t>0亿美元的，得1分。</w:t>
            </w:r>
          </w:p>
        </w:tc>
        <w:tc>
          <w:tcPr>
            <w:tcW w:w="83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10</w:t>
            </w:r>
          </w:p>
        </w:tc>
      </w:tr>
      <w:tr>
        <w:tblPrEx>
          <w:tblCellMar>
            <w:top w:w="0" w:type="dxa"/>
            <w:left w:w="108" w:type="dxa"/>
            <w:bottom w:w="0" w:type="dxa"/>
            <w:right w:w="108" w:type="dxa"/>
          </w:tblCellMar>
        </w:tblPrEx>
        <w:trPr>
          <w:trHeight w:val="214" w:hRule="atLeast"/>
          <w:jc w:val="center"/>
        </w:trPr>
        <w:tc>
          <w:tcPr>
            <w:tcW w:w="4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r>
              <w:rPr>
                <w:rFonts w:hint="eastAsia" w:ascii="宋体" w:hAnsi="宋体" w:eastAsia="宋体" w:cs="宋体"/>
                <w:szCs w:val="20"/>
                <w:lang w:val="en-US" w:eastAsia="zh-CN"/>
              </w:rPr>
              <w:t>三</w:t>
            </w:r>
            <w:r>
              <w:rPr>
                <w:rFonts w:hint="eastAsia" w:ascii="宋体" w:hAnsi="宋体" w:eastAsia="宋体" w:cs="宋体"/>
                <w:szCs w:val="20"/>
              </w:rPr>
              <w:t xml:space="preserve"> </w:t>
            </w:r>
          </w:p>
        </w:tc>
        <w:tc>
          <w:tcPr>
            <w:tcW w:w="119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r>
              <w:rPr>
                <w:rFonts w:hint="eastAsia" w:ascii="宋体" w:hAnsi="宋体" w:eastAsia="宋体" w:cs="宋体"/>
                <w:szCs w:val="20"/>
              </w:rPr>
              <w:t xml:space="preserve">本次债券的发行方案 </w:t>
            </w:r>
          </w:p>
        </w:tc>
        <w:tc>
          <w:tcPr>
            <w:tcW w:w="873"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eastAsia="宋体" w:cs="宋体"/>
                <w:szCs w:val="20"/>
                <w:lang w:val="en-US" w:eastAsia="zh-CN"/>
              </w:rPr>
            </w:pPr>
            <w:r>
              <w:rPr>
                <w:rFonts w:hint="eastAsia" w:ascii="宋体" w:hAnsi="宋体" w:eastAsia="宋体" w:cs="宋体"/>
                <w:szCs w:val="20"/>
                <w:lang w:val="en-US" w:eastAsia="zh-CN"/>
              </w:rPr>
              <w:t>40</w:t>
            </w:r>
          </w:p>
        </w:tc>
        <w:tc>
          <w:tcPr>
            <w:tcW w:w="6968"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ind w:right="-66" w:rightChars="-30"/>
              <w:jc w:val="both"/>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投标人承诺认购比例，承诺认购比例不低于30%且发行利率不高于同期同评级发行人票面利率的，得30分；承诺认购比例每降低1%，扣1分，扣完为止。</w:t>
            </w:r>
          </w:p>
          <w:p>
            <w:pPr>
              <w:keepNext w:val="0"/>
              <w:keepLines w:val="0"/>
              <w:pageBreakBefore w:val="0"/>
              <w:widowControl/>
              <w:kinsoku/>
              <w:wordWrap/>
              <w:overflowPunct/>
              <w:topLinePunct w:val="0"/>
              <w:autoSpaceDE/>
              <w:autoSpaceDN/>
              <w:bidi w:val="0"/>
              <w:adjustRightInd w:val="0"/>
              <w:snapToGrid w:val="0"/>
              <w:spacing w:after="0"/>
              <w:ind w:right="-66" w:rightChars="-30"/>
              <w:jc w:val="both"/>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（如投标人承诺比例为20%，则扣10分，得分为30-10=20分）</w:t>
            </w:r>
          </w:p>
        </w:tc>
        <w:tc>
          <w:tcPr>
            <w:tcW w:w="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30</w:t>
            </w:r>
          </w:p>
        </w:tc>
      </w:tr>
      <w:tr>
        <w:tblPrEx>
          <w:tblCellMar>
            <w:top w:w="0" w:type="dxa"/>
            <w:left w:w="108" w:type="dxa"/>
            <w:bottom w:w="0" w:type="dxa"/>
            <w:right w:w="108" w:type="dxa"/>
          </w:tblCellMar>
        </w:tblPrEx>
        <w:trPr>
          <w:trHeight w:val="90" w:hRule="atLeast"/>
          <w:jc w:val="center"/>
        </w:trPr>
        <w:tc>
          <w:tcPr>
            <w:tcW w:w="432"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rPr>
            </w:pPr>
          </w:p>
        </w:tc>
        <w:tc>
          <w:tcPr>
            <w:tcW w:w="1193"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rPr>
            </w:pPr>
          </w:p>
        </w:tc>
        <w:tc>
          <w:tcPr>
            <w:tcW w:w="873"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rPr>
            </w:pPr>
          </w:p>
        </w:tc>
        <w:tc>
          <w:tcPr>
            <w:tcW w:w="6968" w:type="dxa"/>
            <w:tcBorders>
              <w:top w:val="single" w:color="auto" w:sz="4" w:space="0"/>
              <w:left w:val="nil"/>
              <w:bottom w:val="nil"/>
              <w:right w:val="single" w:color="auto" w:sz="4" w:space="0"/>
            </w:tcBorders>
            <w:vAlign w:val="center"/>
          </w:tcPr>
          <w:p>
            <w:pPr>
              <w:spacing w:after="0"/>
              <w:jc w:val="both"/>
              <w:rPr>
                <w:rFonts w:ascii="宋体" w:hAnsi="宋体" w:eastAsia="宋体" w:cs="宋体"/>
                <w:szCs w:val="20"/>
              </w:rPr>
            </w:pPr>
            <w:r>
              <w:rPr>
                <w:rFonts w:hint="eastAsia" w:ascii="宋体" w:hAnsi="宋体" w:eastAsia="宋体" w:cs="宋体"/>
                <w:szCs w:val="20"/>
              </w:rPr>
              <w:t>结合招标人已发行的境外美元债情况，提出本次债券方案（包括但不限于发行金额、发行方式、定价引导、如何吸引更多国际投资人、足额发行、国际评级、申报时间、发行时间、全球路演安排、募集资金管理、发行利率预估等）。</w:t>
            </w:r>
          </w:p>
          <w:p>
            <w:pPr>
              <w:spacing w:after="0"/>
              <w:jc w:val="both"/>
              <w:rPr>
                <w:rFonts w:hint="eastAsia" w:ascii="宋体" w:hAnsi="宋体" w:eastAsia="宋体" w:cs="宋体"/>
                <w:szCs w:val="20"/>
              </w:rPr>
            </w:pPr>
            <w:r>
              <w:rPr>
                <w:rFonts w:hint="eastAsia" w:ascii="宋体" w:hAnsi="宋体" w:eastAsia="宋体" w:cs="宋体"/>
                <w:szCs w:val="20"/>
              </w:rPr>
              <w:t>发行方案内容详尽，有明确发行计划、能够确保足额发行、实现投资人结构多元化，得1</w:t>
            </w:r>
            <w:r>
              <w:rPr>
                <w:rFonts w:hint="eastAsia" w:ascii="宋体" w:hAnsi="宋体" w:eastAsia="宋体" w:cs="宋体"/>
                <w:szCs w:val="20"/>
                <w:lang w:val="en-US" w:eastAsia="zh-CN"/>
              </w:rPr>
              <w:t>0</w:t>
            </w:r>
            <w:r>
              <w:rPr>
                <w:rFonts w:hint="eastAsia" w:ascii="宋体" w:hAnsi="宋体" w:eastAsia="宋体" w:cs="宋体"/>
                <w:szCs w:val="20"/>
              </w:rPr>
              <w:t>-</w:t>
            </w:r>
            <w:r>
              <w:rPr>
                <w:rFonts w:hint="eastAsia" w:ascii="宋体" w:hAnsi="宋体" w:eastAsia="宋体" w:cs="宋体"/>
                <w:szCs w:val="20"/>
                <w:lang w:val="en-US" w:eastAsia="zh-CN"/>
              </w:rPr>
              <w:t>7</w:t>
            </w:r>
            <w:r>
              <w:rPr>
                <w:rFonts w:hint="eastAsia" w:ascii="宋体" w:hAnsi="宋体" w:eastAsia="宋体" w:cs="宋体"/>
                <w:szCs w:val="20"/>
              </w:rPr>
              <w:t xml:space="preserve">分 </w:t>
            </w:r>
          </w:p>
        </w:tc>
        <w:tc>
          <w:tcPr>
            <w:tcW w:w="83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10</w:t>
            </w:r>
          </w:p>
        </w:tc>
      </w:tr>
      <w:tr>
        <w:tblPrEx>
          <w:tblCellMar>
            <w:top w:w="0" w:type="dxa"/>
            <w:left w:w="108" w:type="dxa"/>
            <w:bottom w:w="0" w:type="dxa"/>
            <w:right w:w="108" w:type="dxa"/>
          </w:tblCellMar>
        </w:tblPrEx>
        <w:trPr>
          <w:trHeight w:val="90" w:hRule="atLeast"/>
          <w:jc w:val="center"/>
        </w:trPr>
        <w:tc>
          <w:tcPr>
            <w:tcW w:w="4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p>
        </w:tc>
        <w:tc>
          <w:tcPr>
            <w:tcW w:w="119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p>
        </w:tc>
        <w:tc>
          <w:tcPr>
            <w:tcW w:w="873"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rPr>
            </w:pPr>
          </w:p>
        </w:tc>
        <w:tc>
          <w:tcPr>
            <w:tcW w:w="6968" w:type="dxa"/>
            <w:tcBorders>
              <w:top w:val="nil"/>
              <w:left w:val="nil"/>
              <w:bottom w:val="nil"/>
              <w:right w:val="single" w:color="auto" w:sz="4" w:space="0"/>
            </w:tcBorders>
            <w:vAlign w:val="center"/>
          </w:tcPr>
          <w:p>
            <w:pPr>
              <w:spacing w:after="0"/>
              <w:jc w:val="both"/>
              <w:rPr>
                <w:rFonts w:hint="eastAsia" w:ascii="宋体" w:hAnsi="宋体" w:eastAsia="宋体" w:cs="宋体"/>
                <w:szCs w:val="20"/>
              </w:rPr>
            </w:pPr>
            <w:r>
              <w:rPr>
                <w:rFonts w:hint="eastAsia" w:ascii="宋体" w:hAnsi="宋体" w:eastAsia="宋体" w:cs="宋体"/>
                <w:szCs w:val="20"/>
              </w:rPr>
              <w:t>发行方案基本阐述到位，有较为清晰发行计划、能够确保足额发行、吸引部分国际投资人，</w:t>
            </w:r>
            <w:r>
              <w:rPr>
                <w:rFonts w:hint="eastAsia" w:ascii="宋体" w:hAnsi="宋体" w:eastAsia="宋体" w:cs="宋体"/>
                <w:szCs w:val="20"/>
                <w:lang w:val="en-US" w:eastAsia="zh-CN"/>
              </w:rPr>
              <w:t>6</w:t>
            </w:r>
            <w:r>
              <w:rPr>
                <w:rFonts w:hint="eastAsia" w:ascii="宋体" w:hAnsi="宋体" w:eastAsia="宋体" w:cs="宋体"/>
                <w:szCs w:val="20"/>
              </w:rPr>
              <w:t>-</w:t>
            </w:r>
            <w:r>
              <w:rPr>
                <w:rFonts w:hint="eastAsia" w:ascii="宋体" w:hAnsi="宋体" w:eastAsia="宋体" w:cs="宋体"/>
                <w:szCs w:val="20"/>
                <w:lang w:val="en-US" w:eastAsia="zh-CN"/>
              </w:rPr>
              <w:t>4</w:t>
            </w:r>
            <w:r>
              <w:rPr>
                <w:rFonts w:hint="eastAsia" w:ascii="宋体" w:hAnsi="宋体" w:eastAsia="宋体" w:cs="宋体"/>
                <w:szCs w:val="20"/>
              </w:rPr>
              <w:t xml:space="preserve">分 </w:t>
            </w:r>
          </w:p>
        </w:tc>
        <w:tc>
          <w:tcPr>
            <w:tcW w:w="8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lang w:val="en-US" w:eastAsia="zh-CN"/>
              </w:rPr>
            </w:pPr>
          </w:p>
        </w:tc>
      </w:tr>
      <w:tr>
        <w:tblPrEx>
          <w:tblCellMar>
            <w:top w:w="0" w:type="dxa"/>
            <w:left w:w="108" w:type="dxa"/>
            <w:bottom w:w="0" w:type="dxa"/>
            <w:right w:w="108" w:type="dxa"/>
          </w:tblCellMar>
        </w:tblPrEx>
        <w:trPr>
          <w:trHeight w:val="90" w:hRule="atLeast"/>
          <w:jc w:val="center"/>
        </w:trPr>
        <w:tc>
          <w:tcPr>
            <w:tcW w:w="4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p>
        </w:tc>
        <w:tc>
          <w:tcPr>
            <w:tcW w:w="119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p>
        </w:tc>
        <w:tc>
          <w:tcPr>
            <w:tcW w:w="873"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rPr>
            </w:pPr>
          </w:p>
        </w:tc>
        <w:tc>
          <w:tcPr>
            <w:tcW w:w="6968" w:type="dxa"/>
            <w:tcBorders>
              <w:top w:val="nil"/>
              <w:left w:val="nil"/>
              <w:right w:val="single" w:color="auto" w:sz="4" w:space="0"/>
            </w:tcBorders>
            <w:vAlign w:val="center"/>
          </w:tcPr>
          <w:p>
            <w:pPr>
              <w:spacing w:after="0"/>
              <w:jc w:val="both"/>
              <w:rPr>
                <w:rFonts w:hint="eastAsia" w:ascii="宋体" w:hAnsi="宋体" w:eastAsia="宋体" w:cs="宋体"/>
                <w:szCs w:val="20"/>
              </w:rPr>
            </w:pPr>
            <w:r>
              <w:rPr>
                <w:rFonts w:hint="eastAsia" w:ascii="宋体" w:hAnsi="宋体" w:eastAsia="宋体" w:cs="宋体"/>
                <w:szCs w:val="20"/>
              </w:rPr>
              <w:t>发行方案空洞不具体，不能吸引国际投资人，</w:t>
            </w:r>
            <w:r>
              <w:rPr>
                <w:rFonts w:hint="eastAsia" w:ascii="宋体" w:hAnsi="宋体" w:eastAsia="宋体" w:cs="宋体"/>
                <w:szCs w:val="20"/>
                <w:lang w:val="en-US" w:eastAsia="zh-CN"/>
              </w:rPr>
              <w:t>3</w:t>
            </w:r>
            <w:r>
              <w:rPr>
                <w:rFonts w:hint="eastAsia" w:ascii="宋体" w:hAnsi="宋体" w:eastAsia="宋体" w:cs="宋体"/>
                <w:szCs w:val="20"/>
              </w:rPr>
              <w:t xml:space="preserve">-0分 </w:t>
            </w:r>
          </w:p>
        </w:tc>
        <w:tc>
          <w:tcPr>
            <w:tcW w:w="83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rPr>
            </w:pPr>
          </w:p>
        </w:tc>
      </w:tr>
      <w:tr>
        <w:tblPrEx>
          <w:tblCellMar>
            <w:top w:w="0" w:type="dxa"/>
            <w:left w:w="108" w:type="dxa"/>
            <w:bottom w:w="0" w:type="dxa"/>
            <w:right w:w="108" w:type="dxa"/>
          </w:tblCellMar>
        </w:tblPrEx>
        <w:trPr>
          <w:trHeight w:val="90"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lang w:eastAsia="zh-CN"/>
              </w:rPr>
            </w:pPr>
            <w:r>
              <w:rPr>
                <w:rFonts w:hint="eastAsia" w:ascii="宋体" w:hAnsi="宋体" w:eastAsia="宋体" w:cs="宋体"/>
                <w:szCs w:val="20"/>
                <w:lang w:val="en-US" w:eastAsia="zh-CN"/>
              </w:rPr>
              <w:t>四</w:t>
            </w:r>
          </w:p>
        </w:tc>
        <w:tc>
          <w:tcPr>
            <w:tcW w:w="1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default" w:ascii="宋体" w:hAnsi="宋体" w:eastAsia="宋体" w:cs="宋体"/>
                <w:szCs w:val="20"/>
                <w:lang w:val="en-US" w:eastAsia="zh-CN"/>
              </w:rPr>
            </w:pPr>
            <w:r>
              <w:rPr>
                <w:rFonts w:hint="eastAsia" w:ascii="宋体" w:hAnsi="宋体" w:eastAsia="宋体" w:cs="宋体"/>
                <w:szCs w:val="20"/>
                <w:lang w:val="en-US" w:eastAsia="zh-CN"/>
              </w:rPr>
              <w:t>项目团队实力</w:t>
            </w: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5</w:t>
            </w:r>
          </w:p>
        </w:tc>
        <w:tc>
          <w:tcPr>
            <w:tcW w:w="69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本项目团队成员不得少于4人（含4人），其中至少包含一名项目负责人、一名执行负责人、一名国际评级分析顾问。任一条件不满足本项不得分，在此基础上：</w:t>
            </w:r>
          </w:p>
          <w:p>
            <w:pPr>
              <w:keepNext w:val="0"/>
              <w:keepLines w:val="0"/>
              <w:pageBreakBefore w:val="0"/>
              <w:widowControl/>
              <w:numPr>
                <w:ilvl w:val="0"/>
                <w:numId w:val="0"/>
              </w:numPr>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（1）项目负责人、执行负责人具有5年或以上美元债券发行经验和评级顾问具有8年或以上专业国际评级分析师工作经验，得5分；</w:t>
            </w:r>
          </w:p>
          <w:p>
            <w:pPr>
              <w:keepNext w:val="0"/>
              <w:keepLines w:val="0"/>
              <w:pageBreakBefore w:val="0"/>
              <w:widowControl/>
              <w:numPr>
                <w:ilvl w:val="0"/>
                <w:numId w:val="0"/>
              </w:numPr>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（2）项目负责人、执行负责人具有3-5年（含3年）美元债券发行经验和评级顾问具有5-8年（含5年）专业国际评级分析师工作经验，得3分；</w:t>
            </w:r>
          </w:p>
          <w:p>
            <w:pPr>
              <w:keepNext w:val="0"/>
              <w:keepLines w:val="0"/>
              <w:pageBreakBefore w:val="0"/>
              <w:widowControl/>
              <w:numPr>
                <w:ilvl w:val="0"/>
                <w:numId w:val="0"/>
              </w:numPr>
              <w:kinsoku/>
              <w:wordWrap/>
              <w:overflowPunct/>
              <w:topLinePunct w:val="0"/>
              <w:autoSpaceDE/>
              <w:autoSpaceDN/>
              <w:bidi w:val="0"/>
              <w:adjustRightInd w:val="0"/>
              <w:snapToGrid w:val="0"/>
              <w:spacing w:after="0"/>
              <w:jc w:val="both"/>
              <w:textAlignment w:val="auto"/>
              <w:rPr>
                <w:rFonts w:hint="default" w:ascii="宋体" w:hAnsi="宋体" w:eastAsia="宋体" w:cs="宋体"/>
                <w:szCs w:val="20"/>
                <w:lang w:val="en-US" w:eastAsia="zh-CN"/>
              </w:rPr>
            </w:pPr>
            <w:r>
              <w:rPr>
                <w:rFonts w:hint="eastAsia" w:ascii="宋体" w:hAnsi="宋体" w:eastAsia="宋体" w:cs="宋体"/>
                <w:szCs w:val="20"/>
                <w:lang w:val="en-US" w:eastAsia="zh-CN"/>
              </w:rPr>
              <w:t>（3）项目负责人、执行负责人具有1-3年（含1年）美元债券发行经验和评级顾问具有3-5年（含3年）专业国际评级分析师工作经验，得1分；</w:t>
            </w:r>
          </w:p>
        </w:tc>
        <w:tc>
          <w:tcPr>
            <w:tcW w:w="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5</w:t>
            </w:r>
          </w:p>
        </w:tc>
      </w:tr>
      <w:tr>
        <w:tblPrEx>
          <w:tblCellMar>
            <w:top w:w="0" w:type="dxa"/>
            <w:left w:w="108" w:type="dxa"/>
            <w:bottom w:w="0" w:type="dxa"/>
            <w:right w:w="108" w:type="dxa"/>
          </w:tblCellMar>
        </w:tblPrEx>
        <w:trPr>
          <w:trHeight w:val="90"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lang w:eastAsia="zh-CN"/>
              </w:rPr>
            </w:pPr>
            <w:r>
              <w:rPr>
                <w:rFonts w:hint="eastAsia" w:ascii="宋体" w:hAnsi="宋体" w:eastAsia="宋体" w:cs="宋体"/>
                <w:szCs w:val="20"/>
                <w:lang w:val="en-US" w:eastAsia="zh-CN"/>
              </w:rPr>
              <w:t>五</w:t>
            </w:r>
          </w:p>
        </w:tc>
        <w:tc>
          <w:tcPr>
            <w:tcW w:w="11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lang w:eastAsia="zh-CN"/>
              </w:rPr>
            </w:pPr>
            <w:r>
              <w:rPr>
                <w:rFonts w:hint="eastAsia" w:ascii="宋体" w:hAnsi="宋体" w:eastAsia="宋体" w:cs="宋体"/>
                <w:szCs w:val="20"/>
                <w:lang w:val="en-US" w:eastAsia="zh-CN"/>
              </w:rPr>
              <w:t>历史合作</w:t>
            </w:r>
          </w:p>
        </w:tc>
        <w:tc>
          <w:tcPr>
            <w:tcW w:w="8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8</w:t>
            </w:r>
          </w:p>
        </w:tc>
        <w:tc>
          <w:tcPr>
            <w:tcW w:w="69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按在一级市场购买产投集团第一次海外债金额大小排名，最多得8分，每低一个排名扣2分，扣完为止。</w:t>
            </w:r>
          </w:p>
        </w:tc>
        <w:tc>
          <w:tcPr>
            <w:tcW w:w="8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8</w:t>
            </w:r>
          </w:p>
        </w:tc>
      </w:tr>
      <w:tr>
        <w:tblPrEx>
          <w:tblCellMar>
            <w:top w:w="0" w:type="dxa"/>
            <w:left w:w="108" w:type="dxa"/>
            <w:bottom w:w="0" w:type="dxa"/>
            <w:right w:w="108" w:type="dxa"/>
          </w:tblCellMar>
        </w:tblPrEx>
        <w:trPr>
          <w:trHeight w:val="703" w:hRule="atLeast"/>
          <w:jc w:val="center"/>
        </w:trPr>
        <w:tc>
          <w:tcPr>
            <w:tcW w:w="43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lang w:eastAsia="zh-CN"/>
              </w:rPr>
            </w:pPr>
            <w:r>
              <w:rPr>
                <w:rFonts w:hint="eastAsia" w:ascii="宋体" w:hAnsi="宋体" w:eastAsia="宋体" w:cs="宋体"/>
                <w:szCs w:val="20"/>
                <w:lang w:val="en-US" w:eastAsia="zh-CN"/>
              </w:rPr>
              <w:t>六</w:t>
            </w:r>
          </w:p>
        </w:tc>
        <w:tc>
          <w:tcPr>
            <w:tcW w:w="11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Cs w:val="20"/>
              </w:rPr>
            </w:pPr>
            <w:r>
              <w:rPr>
                <w:rFonts w:hint="eastAsia" w:ascii="宋体" w:hAnsi="宋体" w:eastAsia="宋体" w:cs="宋体"/>
                <w:szCs w:val="20"/>
              </w:rPr>
              <w:t>比选报价</w:t>
            </w: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30</w:t>
            </w:r>
          </w:p>
        </w:tc>
        <w:tc>
          <w:tcPr>
            <w:tcW w:w="69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default" w:ascii="宋体" w:hAnsi="宋体" w:eastAsia="宋体" w:cs="宋体"/>
                <w:szCs w:val="20"/>
                <w:lang w:val="en-US" w:eastAsia="zh-CN"/>
              </w:rPr>
            </w:pPr>
            <w:r>
              <w:rPr>
                <w:rFonts w:hint="eastAsia" w:ascii="宋体" w:hAnsi="宋体" w:eastAsia="宋体" w:cs="宋体"/>
                <w:szCs w:val="20"/>
                <w:lang w:val="en-US" w:eastAsia="zh-CN"/>
              </w:rPr>
              <w:t>以所有有效投标人投标报价中，去掉一个最高值和一个最低值的算术平均值为评标基准价，投标报价等于评标基准价的得30分。投标人投标报价小于或等于基准价的得满分，每高于评标基准价0.01%的扣</w:t>
            </w:r>
            <w:r>
              <w:rPr>
                <w:rFonts w:hint="eastAsia" w:ascii="宋体" w:hAnsi="宋体" w:eastAsia="宋体" w:cs="宋体"/>
                <w:szCs w:val="20"/>
                <w:highlight w:val="none"/>
                <w:lang w:val="en-US" w:eastAsia="zh-CN"/>
              </w:rPr>
              <w:t>1分，扣完为止（不足0.01%按插值</w:t>
            </w:r>
            <w:r>
              <w:rPr>
                <w:rFonts w:hint="eastAsia" w:ascii="宋体" w:hAnsi="宋体" w:eastAsia="宋体" w:cs="宋体"/>
                <w:szCs w:val="20"/>
                <w:lang w:val="en-US" w:eastAsia="zh-CN"/>
              </w:rPr>
              <w:t>法计算，计算结果保留小数点后两位）。</w:t>
            </w:r>
          </w:p>
        </w:tc>
        <w:tc>
          <w:tcPr>
            <w:tcW w:w="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lang w:val="en-US" w:eastAsia="zh-CN"/>
              </w:rPr>
            </w:pPr>
            <w:r>
              <w:rPr>
                <w:rFonts w:hint="eastAsia" w:ascii="宋体" w:hAnsi="宋体" w:eastAsia="宋体" w:cs="宋体"/>
                <w:szCs w:val="20"/>
                <w:lang w:val="en-US" w:eastAsia="zh-CN"/>
              </w:rPr>
              <w:t>30</w:t>
            </w:r>
          </w:p>
        </w:tc>
      </w:tr>
      <w:tr>
        <w:tblPrEx>
          <w:tblCellMar>
            <w:top w:w="0" w:type="dxa"/>
            <w:left w:w="108" w:type="dxa"/>
            <w:bottom w:w="0" w:type="dxa"/>
            <w:right w:w="108" w:type="dxa"/>
          </w:tblCellMar>
        </w:tblPrEx>
        <w:trPr>
          <w:trHeight w:val="397" w:hRule="atLeast"/>
          <w:jc w:val="center"/>
        </w:trPr>
        <w:tc>
          <w:tcPr>
            <w:tcW w:w="4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rPr>
            </w:pPr>
          </w:p>
        </w:tc>
        <w:tc>
          <w:tcPr>
            <w:tcW w:w="119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rPr>
            </w:pPr>
            <w:r>
              <w:rPr>
                <w:rFonts w:hint="eastAsia" w:ascii="宋体" w:hAnsi="宋体" w:eastAsia="宋体" w:cs="宋体"/>
                <w:szCs w:val="20"/>
              </w:rPr>
              <w:t>合计</w:t>
            </w:r>
          </w:p>
        </w:tc>
        <w:tc>
          <w:tcPr>
            <w:tcW w:w="87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eastAsia="宋体" w:cs="宋体"/>
                <w:szCs w:val="20"/>
                <w:lang w:val="en-US" w:eastAsia="zh-CN"/>
              </w:rPr>
            </w:pPr>
            <w:r>
              <w:rPr>
                <w:rFonts w:hint="eastAsia" w:ascii="宋体" w:hAnsi="宋体" w:eastAsia="宋体" w:cs="宋体"/>
                <w:szCs w:val="20"/>
                <w:lang w:val="en-US" w:eastAsia="zh-CN"/>
              </w:rPr>
              <w:t>100</w:t>
            </w:r>
          </w:p>
        </w:tc>
        <w:tc>
          <w:tcPr>
            <w:tcW w:w="696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Cs w:val="20"/>
              </w:rPr>
            </w:pPr>
            <w:r>
              <w:rPr>
                <w:rFonts w:hint="eastAsia" w:ascii="宋体" w:hAnsi="宋体" w:eastAsia="宋体" w:cs="宋体"/>
                <w:szCs w:val="20"/>
              </w:rPr>
              <w:t>　</w:t>
            </w:r>
          </w:p>
        </w:tc>
        <w:tc>
          <w:tcPr>
            <w:tcW w:w="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Cs w:val="20"/>
              </w:rPr>
            </w:pPr>
            <w:r>
              <w:rPr>
                <w:rFonts w:hint="eastAsia" w:ascii="宋体" w:hAnsi="宋体" w:eastAsia="宋体" w:cs="宋体"/>
                <w:szCs w:val="20"/>
              </w:rPr>
              <w:t>100</w:t>
            </w:r>
          </w:p>
        </w:tc>
      </w:tr>
    </w:tbl>
    <w:p>
      <w:pPr>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bCs/>
          <w:sz w:val="56"/>
          <w:szCs w:val="56"/>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bCs/>
          <w:sz w:val="56"/>
          <w:szCs w:val="56"/>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bCs/>
          <w:sz w:val="56"/>
          <w:szCs w:val="56"/>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bCs/>
          <w:sz w:val="56"/>
          <w:szCs w:val="56"/>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bCs/>
          <w:sz w:val="56"/>
          <w:szCs w:val="56"/>
          <w:lang w:val="en-US" w:eastAsia="zh-CN"/>
        </w:rPr>
      </w:pPr>
    </w:p>
    <w:p>
      <w:pPr>
        <w:pStyle w:val="2"/>
        <w:numPr>
          <w:ilvl w:val="0"/>
          <w:numId w:val="4"/>
        </w:numPr>
        <w:bidi w:val="0"/>
        <w:jc w:val="center"/>
        <w:rPr>
          <w:rFonts w:hint="eastAsia" w:ascii="黑体" w:hAnsi="黑体" w:eastAsia="黑体" w:cs="黑体"/>
          <w:sz w:val="56"/>
          <w:szCs w:val="32"/>
          <w:lang w:val="en-US" w:eastAsia="zh-CN"/>
        </w:rPr>
      </w:pPr>
      <w:bookmarkStart w:id="4" w:name="_Toc12148"/>
      <w:r>
        <w:rPr>
          <w:rFonts w:hint="eastAsia" w:ascii="黑体" w:hAnsi="黑体" w:eastAsia="黑体" w:cs="黑体"/>
          <w:sz w:val="56"/>
          <w:szCs w:val="32"/>
          <w:lang w:val="en-US" w:eastAsia="zh-CN"/>
        </w:rPr>
        <w:t>投标文件格式</w:t>
      </w:r>
      <w:bookmarkEnd w:id="4"/>
    </w:p>
    <w:p>
      <w:pPr>
        <w:rPr>
          <w:rFonts w:hint="eastAsia" w:ascii="黑体" w:hAnsi="黑体" w:eastAsia="黑体" w:cs="黑体"/>
          <w:b/>
          <w:bCs/>
          <w:sz w:val="56"/>
          <w:szCs w:val="56"/>
          <w:lang w:val="en-US" w:eastAsia="zh-CN"/>
        </w:rPr>
      </w:pPr>
      <w:r>
        <w:rPr>
          <w:rFonts w:hint="eastAsia" w:ascii="黑体" w:hAnsi="黑体" w:eastAsia="黑体" w:cs="黑体"/>
          <w:b/>
          <w:bCs/>
          <w:sz w:val="56"/>
          <w:szCs w:val="56"/>
          <w:lang w:val="en-US" w:eastAsia="zh-CN"/>
        </w:rPr>
        <w:br w:type="page"/>
      </w:r>
    </w:p>
    <w:p>
      <w:pPr>
        <w:tabs>
          <w:tab w:val="left" w:pos="25"/>
          <w:tab w:val="center" w:pos="4422"/>
        </w:tabs>
        <w:spacing w:line="800" w:lineRule="exact"/>
        <w:jc w:val="center"/>
        <w:rPr>
          <w:rFonts w:hint="eastAsia" w:eastAsia="黑体"/>
          <w:b/>
          <w:sz w:val="44"/>
          <w:szCs w:val="44"/>
        </w:rPr>
      </w:pPr>
      <w:r>
        <w:rPr>
          <w:rFonts w:hint="eastAsia" w:eastAsia="黑体"/>
          <w:b/>
          <w:sz w:val="44"/>
          <w:szCs w:val="44"/>
        </w:rPr>
        <w:t>合肥市产业投资控股（集团）有限公司</w:t>
      </w:r>
    </w:p>
    <w:p>
      <w:pPr>
        <w:tabs>
          <w:tab w:val="left" w:pos="25"/>
          <w:tab w:val="center" w:pos="4422"/>
        </w:tabs>
        <w:spacing w:line="800" w:lineRule="exact"/>
        <w:jc w:val="center"/>
        <w:rPr>
          <w:rFonts w:eastAsia="黑体"/>
          <w:b/>
          <w:sz w:val="44"/>
          <w:szCs w:val="44"/>
        </w:rPr>
      </w:pPr>
      <w:r>
        <w:rPr>
          <w:rFonts w:hint="eastAsia" w:eastAsia="黑体"/>
          <w:b/>
          <w:sz w:val="44"/>
          <w:szCs w:val="44"/>
          <w:lang w:val="en-US" w:eastAsia="zh-CN"/>
        </w:rPr>
        <w:t>第二期海外债</w:t>
      </w:r>
      <w:r>
        <w:rPr>
          <w:rFonts w:eastAsia="黑体"/>
          <w:b/>
          <w:sz w:val="44"/>
          <w:szCs w:val="44"/>
        </w:rPr>
        <w:t>发行承销</w:t>
      </w:r>
    </w:p>
    <w:p>
      <w:pPr>
        <w:tabs>
          <w:tab w:val="left" w:pos="25"/>
          <w:tab w:val="center" w:pos="4422"/>
        </w:tabs>
        <w:spacing w:line="800" w:lineRule="exact"/>
        <w:jc w:val="center"/>
        <w:rPr>
          <w:rFonts w:eastAsia="黑体"/>
          <w:b/>
          <w:sz w:val="44"/>
          <w:szCs w:val="44"/>
        </w:rPr>
      </w:pPr>
      <w:r>
        <w:rPr>
          <w:rFonts w:eastAsia="黑体"/>
          <w:b/>
          <w:sz w:val="44"/>
          <w:szCs w:val="44"/>
        </w:rPr>
        <w:t>服务项目</w:t>
      </w:r>
    </w:p>
    <w:p>
      <w:pPr>
        <w:pStyle w:val="18"/>
        <w:tabs>
          <w:tab w:val="left" w:pos="5520"/>
        </w:tabs>
        <w:spacing w:line="800" w:lineRule="exact"/>
        <w:jc w:val="center"/>
        <w:rPr>
          <w:rFonts w:ascii="Times New Roman" w:hAnsi="Times New Roman" w:eastAsia="隶书" w:cs="Times New Roman"/>
          <w:sz w:val="44"/>
          <w:szCs w:val="44"/>
        </w:rPr>
      </w:pPr>
    </w:p>
    <w:p>
      <w:pPr>
        <w:pStyle w:val="18"/>
        <w:spacing w:line="800" w:lineRule="exact"/>
        <w:rPr>
          <w:rFonts w:ascii="Times New Roman" w:hAnsi="Times New Roman" w:cs="Times New Roman"/>
          <w:b/>
          <w:bCs/>
        </w:rPr>
      </w:pPr>
    </w:p>
    <w:p>
      <w:pPr>
        <w:pStyle w:val="18"/>
        <w:spacing w:line="800" w:lineRule="exact"/>
        <w:rPr>
          <w:rFonts w:ascii="Times New Roman" w:hAnsi="Times New Roman" w:cs="Times New Roman"/>
          <w:b/>
          <w:bCs/>
        </w:rPr>
      </w:pPr>
    </w:p>
    <w:p>
      <w:pPr>
        <w:pStyle w:val="18"/>
        <w:spacing w:line="800" w:lineRule="exact"/>
        <w:rPr>
          <w:rFonts w:ascii="Times New Roman" w:hAnsi="Times New Roman" w:cs="Times New Roman"/>
          <w:b/>
          <w:bCs/>
        </w:rPr>
      </w:pPr>
    </w:p>
    <w:p>
      <w:pPr>
        <w:pStyle w:val="18"/>
        <w:jc w:val="center"/>
        <w:rPr>
          <w:rFonts w:ascii="Times New Roman" w:hAnsi="Times New Roman" w:eastAsia="黑体" w:cs="Times New Roman"/>
          <w:b/>
          <w:bCs/>
          <w:sz w:val="48"/>
        </w:rPr>
      </w:pPr>
      <w:r>
        <w:rPr>
          <w:rFonts w:ascii="Times New Roman" w:hAnsi="Times New Roman" w:eastAsia="黑体" w:cs="Times New Roman"/>
          <w:b/>
          <w:bCs/>
          <w:sz w:val="120"/>
        </w:rPr>
        <w:t>投 标 文 件</w:t>
      </w:r>
    </w:p>
    <w:p>
      <w:pPr>
        <w:spacing w:line="440" w:lineRule="exact"/>
        <w:jc w:val="center"/>
        <w:rPr>
          <w:b/>
          <w:sz w:val="44"/>
          <w:szCs w:val="44"/>
        </w:rPr>
      </w:pPr>
    </w:p>
    <w:p>
      <w:pPr>
        <w:spacing w:line="440" w:lineRule="exact"/>
        <w:rPr>
          <w:b/>
          <w:sz w:val="20"/>
          <w:szCs w:val="20"/>
        </w:rPr>
      </w:pPr>
    </w:p>
    <w:p>
      <w:pPr>
        <w:spacing w:line="440" w:lineRule="exact"/>
        <w:rPr>
          <w:sz w:val="20"/>
          <w:szCs w:val="20"/>
        </w:rPr>
      </w:pPr>
    </w:p>
    <w:p>
      <w:pPr>
        <w:spacing w:line="440" w:lineRule="exact"/>
        <w:rPr>
          <w:sz w:val="20"/>
          <w:szCs w:val="20"/>
        </w:rPr>
      </w:pPr>
    </w:p>
    <w:p>
      <w:pPr>
        <w:spacing w:line="440" w:lineRule="exact"/>
        <w:rPr>
          <w:sz w:val="20"/>
          <w:szCs w:val="20"/>
        </w:rPr>
      </w:pPr>
    </w:p>
    <w:p>
      <w:pPr>
        <w:spacing w:line="360" w:lineRule="auto"/>
        <w:jc w:val="center"/>
        <w:rPr>
          <w:rFonts w:eastAsia="黑体"/>
          <w:sz w:val="36"/>
          <w:szCs w:val="36"/>
        </w:rPr>
      </w:pPr>
      <w:r>
        <w:rPr>
          <w:rFonts w:eastAsia="黑体"/>
          <w:sz w:val="36"/>
          <w:szCs w:val="36"/>
        </w:rPr>
        <w:t>投标人：(盖单位公章)</w:t>
      </w:r>
    </w:p>
    <w:p>
      <w:pPr>
        <w:spacing w:line="360" w:lineRule="auto"/>
        <w:jc w:val="center"/>
        <w:rPr>
          <w:rFonts w:eastAsia="黑体"/>
          <w:sz w:val="36"/>
          <w:szCs w:val="36"/>
        </w:rPr>
        <w:sectPr>
          <w:headerReference r:id="rId7" w:type="first"/>
          <w:pgSz w:w="11906" w:h="16838"/>
          <w:pgMar w:top="1418" w:right="1418" w:bottom="1418" w:left="1644" w:header="851" w:footer="992" w:gutter="0"/>
          <w:pgNumType w:fmt="decimal"/>
          <w:cols w:space="720" w:num="1"/>
          <w:titlePg/>
          <w:docGrid w:linePitch="312" w:charSpace="0"/>
        </w:sectPr>
      </w:pPr>
      <w:r>
        <w:rPr>
          <w:rFonts w:eastAsia="黑体"/>
          <w:sz w:val="36"/>
          <w:szCs w:val="36"/>
        </w:rPr>
        <w:t>年   月   日</w:t>
      </w:r>
    </w:p>
    <w:p>
      <w:pPr>
        <w:spacing w:before="240" w:beforeLines="100" w:after="240" w:afterLines="100" w:line="360" w:lineRule="auto"/>
        <w:jc w:val="center"/>
        <w:rPr>
          <w:rFonts w:eastAsia="黑体"/>
          <w:sz w:val="36"/>
          <w:szCs w:val="32"/>
        </w:rPr>
      </w:pPr>
      <w:r>
        <w:rPr>
          <w:rFonts w:eastAsia="黑体"/>
          <w:sz w:val="36"/>
          <w:szCs w:val="32"/>
        </w:rPr>
        <w:t>目   录</w:t>
      </w:r>
    </w:p>
    <w:p>
      <w:pPr>
        <w:spacing w:line="640" w:lineRule="exact"/>
        <w:ind w:firstLine="560" w:firstLineChars="200"/>
        <w:rPr>
          <w:rFonts w:eastAsia="黑体"/>
          <w:kern w:val="11"/>
          <w:sz w:val="28"/>
          <w:szCs w:val="28"/>
        </w:rPr>
      </w:pPr>
      <w:r>
        <w:rPr>
          <w:rFonts w:eastAsia="黑体"/>
          <w:kern w:val="11"/>
          <w:sz w:val="28"/>
          <w:szCs w:val="28"/>
        </w:rPr>
        <w:t>一、投标函</w:t>
      </w:r>
    </w:p>
    <w:p>
      <w:pPr>
        <w:spacing w:line="640" w:lineRule="exact"/>
        <w:ind w:firstLine="560" w:firstLineChars="200"/>
        <w:rPr>
          <w:rFonts w:eastAsia="黑体"/>
          <w:kern w:val="11"/>
          <w:sz w:val="28"/>
          <w:szCs w:val="28"/>
        </w:rPr>
      </w:pPr>
      <w:r>
        <w:rPr>
          <w:rFonts w:eastAsia="黑体"/>
          <w:kern w:val="11"/>
          <w:sz w:val="28"/>
          <w:szCs w:val="28"/>
        </w:rPr>
        <w:t>二、授权委托书</w:t>
      </w:r>
    </w:p>
    <w:p>
      <w:pPr>
        <w:spacing w:line="640" w:lineRule="exact"/>
        <w:ind w:firstLine="560" w:firstLineChars="200"/>
        <w:rPr>
          <w:rFonts w:eastAsia="黑体"/>
          <w:kern w:val="11"/>
          <w:sz w:val="28"/>
          <w:szCs w:val="28"/>
        </w:rPr>
      </w:pPr>
      <w:r>
        <w:rPr>
          <w:rFonts w:eastAsia="黑体"/>
          <w:kern w:val="11"/>
          <w:sz w:val="28"/>
          <w:szCs w:val="28"/>
        </w:rPr>
        <w:t>三、报价函</w:t>
      </w:r>
    </w:p>
    <w:p>
      <w:pPr>
        <w:spacing w:line="640" w:lineRule="exact"/>
        <w:ind w:firstLine="560" w:firstLineChars="200"/>
        <w:rPr>
          <w:rFonts w:hint="default" w:eastAsia="黑体"/>
          <w:kern w:val="11"/>
          <w:sz w:val="28"/>
          <w:szCs w:val="28"/>
          <w:lang w:val="en-US" w:eastAsia="zh-CN"/>
        </w:rPr>
      </w:pPr>
      <w:r>
        <w:rPr>
          <w:rFonts w:hint="eastAsia" w:eastAsia="黑体"/>
          <w:kern w:val="11"/>
          <w:sz w:val="28"/>
          <w:szCs w:val="28"/>
          <w:lang w:val="en-US" w:eastAsia="zh-CN"/>
        </w:rPr>
        <w:t>四、认购承诺函</w:t>
      </w:r>
    </w:p>
    <w:p>
      <w:pPr>
        <w:spacing w:line="640" w:lineRule="exact"/>
        <w:ind w:firstLine="560" w:firstLineChars="200"/>
        <w:rPr>
          <w:rFonts w:hint="eastAsia" w:eastAsia="黑体"/>
          <w:kern w:val="11"/>
          <w:sz w:val="28"/>
          <w:szCs w:val="28"/>
          <w:lang w:val="en-US" w:eastAsia="zh-CN"/>
        </w:rPr>
      </w:pPr>
      <w:r>
        <w:rPr>
          <w:rFonts w:hint="eastAsia" w:eastAsia="黑体"/>
          <w:kern w:val="11"/>
          <w:sz w:val="28"/>
          <w:szCs w:val="28"/>
          <w:lang w:val="en-US" w:eastAsia="zh-CN"/>
        </w:rPr>
        <w:t>五</w:t>
      </w:r>
      <w:r>
        <w:rPr>
          <w:rFonts w:eastAsia="黑体"/>
          <w:kern w:val="11"/>
          <w:sz w:val="28"/>
          <w:szCs w:val="28"/>
        </w:rPr>
        <w:t>、证明</w:t>
      </w:r>
      <w:r>
        <w:rPr>
          <w:rFonts w:hint="eastAsia" w:eastAsia="黑体"/>
          <w:kern w:val="11"/>
          <w:sz w:val="28"/>
          <w:szCs w:val="28"/>
          <w:lang w:val="en-US" w:eastAsia="zh-CN"/>
        </w:rPr>
        <w:t>材料</w:t>
      </w:r>
    </w:p>
    <w:p>
      <w:pPr>
        <w:spacing w:line="640" w:lineRule="exact"/>
        <w:ind w:firstLine="560" w:firstLineChars="200"/>
        <w:rPr>
          <w:rFonts w:eastAsia="黑体"/>
          <w:kern w:val="11"/>
          <w:sz w:val="28"/>
          <w:szCs w:val="28"/>
        </w:rPr>
      </w:pPr>
      <w:r>
        <w:rPr>
          <w:rFonts w:hint="eastAsia" w:eastAsia="黑体"/>
          <w:kern w:val="11"/>
          <w:sz w:val="28"/>
          <w:szCs w:val="28"/>
          <w:lang w:val="en-US" w:eastAsia="zh-CN"/>
        </w:rPr>
        <w:t>六</w:t>
      </w:r>
      <w:r>
        <w:rPr>
          <w:rFonts w:eastAsia="黑体"/>
          <w:kern w:val="11"/>
          <w:sz w:val="28"/>
          <w:szCs w:val="28"/>
        </w:rPr>
        <w:t>、人员安排</w:t>
      </w:r>
    </w:p>
    <w:p>
      <w:pPr>
        <w:spacing w:line="640" w:lineRule="exact"/>
        <w:ind w:firstLine="560" w:firstLineChars="200"/>
        <w:rPr>
          <w:rFonts w:hint="default" w:eastAsia="黑体"/>
          <w:bCs/>
          <w:kern w:val="11"/>
          <w:sz w:val="28"/>
          <w:szCs w:val="28"/>
          <w:lang w:val="en-US" w:eastAsia="zh-CN"/>
        </w:rPr>
      </w:pPr>
      <w:r>
        <w:rPr>
          <w:rFonts w:hint="eastAsia" w:eastAsia="黑体"/>
          <w:kern w:val="11"/>
          <w:sz w:val="28"/>
          <w:szCs w:val="28"/>
          <w:lang w:val="en-US" w:eastAsia="zh-CN"/>
        </w:rPr>
        <w:t>七</w:t>
      </w:r>
      <w:r>
        <w:rPr>
          <w:rFonts w:eastAsia="黑体"/>
          <w:kern w:val="11"/>
          <w:sz w:val="28"/>
          <w:szCs w:val="28"/>
        </w:rPr>
        <w:t>、</w:t>
      </w:r>
      <w:r>
        <w:rPr>
          <w:rFonts w:hint="eastAsia" w:eastAsia="黑体"/>
          <w:bCs/>
          <w:kern w:val="11"/>
          <w:sz w:val="28"/>
          <w:szCs w:val="28"/>
          <w:lang w:val="en-US" w:eastAsia="zh-CN"/>
        </w:rPr>
        <w:t>发行方案</w:t>
      </w:r>
    </w:p>
    <w:p>
      <w:pPr>
        <w:spacing w:line="640" w:lineRule="exact"/>
        <w:ind w:firstLine="560" w:firstLineChars="200"/>
        <w:rPr>
          <w:rFonts w:eastAsia="黑体"/>
          <w:kern w:val="11"/>
          <w:sz w:val="28"/>
          <w:szCs w:val="28"/>
        </w:rPr>
      </w:pPr>
      <w:r>
        <w:rPr>
          <w:rFonts w:hint="eastAsia" w:eastAsia="黑体"/>
          <w:kern w:val="11"/>
          <w:sz w:val="28"/>
          <w:szCs w:val="28"/>
          <w:lang w:val="en-US" w:eastAsia="zh-CN"/>
        </w:rPr>
        <w:t>八</w:t>
      </w:r>
      <w:r>
        <w:rPr>
          <w:rFonts w:hint="eastAsia" w:eastAsia="黑体"/>
          <w:kern w:val="11"/>
          <w:sz w:val="28"/>
          <w:szCs w:val="28"/>
        </w:rPr>
        <w:t>、</w:t>
      </w:r>
      <w:r>
        <w:rPr>
          <w:rFonts w:eastAsia="黑体"/>
          <w:kern w:val="11"/>
          <w:sz w:val="28"/>
          <w:szCs w:val="28"/>
        </w:rPr>
        <w:t>其他资料</w:t>
      </w:r>
    </w:p>
    <w:p>
      <w:pPr>
        <w:rPr>
          <w:rFonts w:eastAsia="黑体"/>
          <w:bCs/>
          <w:kern w:val="11"/>
          <w:sz w:val="28"/>
          <w:szCs w:val="28"/>
        </w:rPr>
      </w:pPr>
      <w:r>
        <w:rPr>
          <w:rFonts w:eastAsia="黑体"/>
          <w:bCs/>
          <w:kern w:val="11"/>
          <w:sz w:val="28"/>
          <w:szCs w:val="28"/>
        </w:rPr>
        <w:br w:type="page"/>
      </w:r>
    </w:p>
    <w:p>
      <w:pPr>
        <w:keepNext w:val="0"/>
        <w:keepLines w:val="0"/>
        <w:pageBreakBefore w:val="0"/>
        <w:widowControl/>
        <w:wordWrap/>
        <w:topLinePunct w:val="0"/>
        <w:bidi w:val="0"/>
        <w:adjustRightInd w:val="0"/>
        <w:snapToGrid w:val="0"/>
        <w:spacing w:after="0" w:line="264" w:lineRule="auto"/>
        <w:jc w:val="center"/>
        <w:textAlignment w:val="auto"/>
        <w:rPr>
          <w:rFonts w:hint="eastAsia" w:ascii="黑体" w:hAnsi="黑体" w:eastAsia="黑体" w:cs="黑体"/>
          <w:kern w:val="11"/>
          <w:sz w:val="32"/>
          <w:szCs w:val="32"/>
        </w:rPr>
      </w:pPr>
      <w:r>
        <w:rPr>
          <w:rFonts w:hint="eastAsia" w:ascii="黑体" w:hAnsi="黑体" w:eastAsia="黑体" w:cs="黑体"/>
          <w:sz w:val="32"/>
          <w:szCs w:val="32"/>
        </w:rPr>
        <w:t>一、</w:t>
      </w:r>
      <w:r>
        <w:rPr>
          <w:rFonts w:hint="eastAsia" w:ascii="黑体" w:hAnsi="黑体" w:eastAsia="黑体" w:cs="黑体"/>
          <w:kern w:val="11"/>
          <w:sz w:val="32"/>
          <w:szCs w:val="32"/>
        </w:rPr>
        <w:t>投标函</w:t>
      </w:r>
    </w:p>
    <w:p>
      <w:pPr>
        <w:keepNext w:val="0"/>
        <w:keepLines w:val="0"/>
        <w:pageBreakBefore w:val="0"/>
        <w:widowControl/>
        <w:wordWrap/>
        <w:topLinePunct w:val="0"/>
        <w:bidi w:val="0"/>
        <w:adjustRightInd w:val="0"/>
        <w:snapToGrid w:val="0"/>
        <w:spacing w:after="0" w:line="264" w:lineRule="auto"/>
        <w:jc w:val="center"/>
        <w:textAlignment w:val="auto"/>
        <w:rPr>
          <w:rFonts w:hint="eastAsia" w:ascii="宋体" w:hAnsi="宋体" w:eastAsia="宋体" w:cs="宋体"/>
          <w:kern w:val="11"/>
          <w:sz w:val="32"/>
          <w:szCs w:val="32"/>
        </w:rPr>
      </w:pP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致：合肥市产业投资控股（集团）有限公司</w:t>
      </w: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textAlignment w:val="auto"/>
        <w:rPr>
          <w:rFonts w:hint="eastAsia" w:ascii="宋体" w:hAnsi="宋体" w:eastAsia="宋体" w:cs="宋体"/>
          <w:sz w:val="28"/>
          <w:szCs w:val="28"/>
        </w:rPr>
      </w:pPr>
      <w:r>
        <w:rPr>
          <w:rFonts w:hint="eastAsia" w:ascii="宋体" w:hAnsi="宋体" w:eastAsia="宋体" w:cs="宋体"/>
          <w:sz w:val="28"/>
          <w:szCs w:val="28"/>
          <w:u w:val="single"/>
        </w:rPr>
        <w:t>（投标人名称）（法定代表人（或负责人）或有权签字人）</w:t>
      </w:r>
      <w:r>
        <w:rPr>
          <w:rFonts w:hint="eastAsia" w:ascii="宋体" w:hAnsi="宋体" w:eastAsia="宋体" w:cs="宋体"/>
          <w:sz w:val="28"/>
          <w:szCs w:val="28"/>
        </w:rPr>
        <w:t>授予</w:t>
      </w:r>
      <w:r>
        <w:rPr>
          <w:rFonts w:hint="eastAsia" w:ascii="宋体" w:hAnsi="宋体" w:eastAsia="宋体" w:cs="宋体"/>
          <w:sz w:val="28"/>
          <w:szCs w:val="28"/>
          <w:u w:val="single"/>
        </w:rPr>
        <w:t>（姓名）</w:t>
      </w:r>
      <w:r>
        <w:rPr>
          <w:rFonts w:hint="eastAsia" w:ascii="宋体" w:hAnsi="宋体" w:eastAsia="宋体" w:cs="宋体"/>
          <w:sz w:val="28"/>
          <w:szCs w:val="28"/>
        </w:rPr>
        <w:t>代表我方参加贵方组织的合肥市产业投资控股（集团）有限公司</w:t>
      </w:r>
      <w:r>
        <w:rPr>
          <w:rFonts w:hint="eastAsia" w:eastAsia="宋体" w:cs="宋体"/>
          <w:sz w:val="28"/>
          <w:szCs w:val="28"/>
          <w:lang w:val="en-US" w:eastAsia="zh-CN"/>
        </w:rPr>
        <w:t>第二期海外债</w:t>
      </w:r>
      <w:r>
        <w:rPr>
          <w:rFonts w:hint="eastAsia" w:ascii="宋体" w:hAnsi="宋体" w:eastAsia="宋体" w:cs="宋体"/>
          <w:sz w:val="28"/>
          <w:szCs w:val="28"/>
        </w:rPr>
        <w:t>发行承销服务</w:t>
      </w:r>
      <w:r>
        <w:rPr>
          <w:rFonts w:hint="eastAsia" w:eastAsia="宋体" w:cs="宋体"/>
          <w:sz w:val="28"/>
          <w:szCs w:val="28"/>
          <w:lang w:val="en-US" w:eastAsia="zh-CN"/>
        </w:rPr>
        <w:t>项目</w:t>
      </w:r>
      <w:r>
        <w:rPr>
          <w:rFonts w:hint="eastAsia" w:ascii="宋体" w:hAnsi="宋体" w:eastAsia="宋体" w:cs="宋体"/>
          <w:sz w:val="28"/>
          <w:szCs w:val="28"/>
        </w:rPr>
        <w:t>招标活动，处理与本次招标项目有关事宜。</w:t>
      </w: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据此函，声明同意如下：</w:t>
      </w: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jc w:val="both"/>
        <w:textAlignment w:val="auto"/>
        <w:rPr>
          <w:rFonts w:hint="eastAsia" w:ascii="宋体" w:hAnsi="宋体" w:eastAsia="宋体" w:cs="宋体"/>
          <w:sz w:val="28"/>
          <w:szCs w:val="28"/>
        </w:rPr>
      </w:pPr>
      <w:r>
        <w:rPr>
          <w:rFonts w:hint="eastAsia" w:ascii="宋体" w:hAnsi="宋体" w:eastAsia="宋体" w:cs="宋体"/>
          <w:sz w:val="28"/>
          <w:szCs w:val="28"/>
        </w:rPr>
        <w:t>1、按招标文件规定的各项要求，向合肥市产业投资控股（集团）有限公司</w:t>
      </w:r>
      <w:r>
        <w:rPr>
          <w:rFonts w:hint="eastAsia" w:eastAsia="宋体" w:cs="宋体"/>
          <w:sz w:val="28"/>
          <w:szCs w:val="28"/>
          <w:lang w:val="en-US" w:eastAsia="zh-CN"/>
        </w:rPr>
        <w:t>第二期海外债</w:t>
      </w:r>
      <w:r>
        <w:rPr>
          <w:rFonts w:hint="eastAsia" w:ascii="宋体" w:hAnsi="宋体" w:eastAsia="宋体" w:cs="宋体"/>
          <w:sz w:val="28"/>
          <w:szCs w:val="28"/>
        </w:rPr>
        <w:t>发行提供招标文件要求的承销服务，投标文件中的报价和承诺的服务是我方真实意愿的反映；</w:t>
      </w: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jc w:val="both"/>
        <w:textAlignment w:val="auto"/>
        <w:rPr>
          <w:rFonts w:hint="eastAsia" w:ascii="宋体" w:hAnsi="宋体" w:eastAsia="宋体" w:cs="宋体"/>
          <w:sz w:val="28"/>
          <w:szCs w:val="28"/>
        </w:rPr>
      </w:pPr>
      <w:r>
        <w:rPr>
          <w:rFonts w:hint="eastAsia" w:ascii="宋体" w:hAnsi="宋体" w:eastAsia="宋体" w:cs="宋体"/>
          <w:sz w:val="28"/>
          <w:szCs w:val="28"/>
        </w:rPr>
        <w:t>2、我方完全理解贵方按照综合评分排名将合同授予合格投标人；</w:t>
      </w: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jc w:val="both"/>
        <w:textAlignment w:val="auto"/>
        <w:rPr>
          <w:rFonts w:hint="eastAsia" w:ascii="宋体" w:hAnsi="宋体" w:eastAsia="宋体" w:cs="宋体"/>
          <w:sz w:val="28"/>
          <w:szCs w:val="28"/>
        </w:rPr>
      </w:pPr>
      <w:r>
        <w:rPr>
          <w:rFonts w:hint="eastAsia" w:ascii="宋体" w:hAnsi="宋体" w:eastAsia="宋体" w:cs="宋体"/>
          <w:sz w:val="28"/>
          <w:szCs w:val="28"/>
        </w:rPr>
        <w:t>3、我方已详细审核全部招标文件及其有关补充文件，知道必须放弃提出含糊不清或误解问题的权利；</w:t>
      </w: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jc w:val="both"/>
        <w:textAlignment w:val="auto"/>
        <w:rPr>
          <w:rFonts w:hint="eastAsia" w:ascii="宋体" w:hAnsi="宋体" w:eastAsia="宋体" w:cs="宋体"/>
          <w:sz w:val="28"/>
          <w:szCs w:val="28"/>
        </w:rPr>
      </w:pPr>
      <w:r>
        <w:rPr>
          <w:rFonts w:hint="eastAsia" w:ascii="宋体" w:hAnsi="宋体" w:eastAsia="宋体" w:cs="宋体"/>
          <w:sz w:val="28"/>
          <w:szCs w:val="28"/>
        </w:rPr>
        <w:t>4、我方同意向贵方提供可能另外要求的与投标有关的任何证据资料，配合招标方实施的与评标有关的各项活动，并保证我方提供和将要提供的文件是真实的、准确的；</w:t>
      </w: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jc w:val="both"/>
        <w:textAlignment w:val="auto"/>
        <w:rPr>
          <w:rFonts w:hint="eastAsia" w:ascii="宋体" w:hAnsi="宋体" w:eastAsia="宋体" w:cs="宋体"/>
          <w:sz w:val="28"/>
          <w:szCs w:val="28"/>
        </w:rPr>
      </w:pPr>
      <w:r>
        <w:rPr>
          <w:rFonts w:hint="eastAsia" w:ascii="宋体" w:hAnsi="宋体" w:eastAsia="宋体" w:cs="宋体"/>
          <w:sz w:val="28"/>
          <w:szCs w:val="28"/>
        </w:rPr>
        <w:t>5、一旦我方中标，我方将根据招标文件的规定签订合同，并严格履行合同规定的责任和义务，保证按招标书中规定的要求和投标书中的承诺为合肥市产业投资控股（集团）有限公司</w:t>
      </w:r>
      <w:r>
        <w:rPr>
          <w:rFonts w:hint="eastAsia" w:eastAsia="宋体" w:cs="宋体"/>
          <w:sz w:val="28"/>
          <w:szCs w:val="28"/>
          <w:lang w:val="en-US" w:eastAsia="zh-CN"/>
        </w:rPr>
        <w:t>第二期海外债</w:t>
      </w:r>
      <w:r>
        <w:rPr>
          <w:rFonts w:hint="eastAsia" w:ascii="宋体" w:hAnsi="宋体" w:eastAsia="宋体" w:cs="宋体"/>
          <w:sz w:val="28"/>
          <w:szCs w:val="28"/>
        </w:rPr>
        <w:t>发行提供优质的承销服务。</w:t>
      </w: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textAlignment w:val="auto"/>
        <w:rPr>
          <w:rFonts w:hint="eastAsia" w:ascii="宋体" w:hAnsi="宋体" w:eastAsia="宋体" w:cs="宋体"/>
          <w:sz w:val="28"/>
          <w:szCs w:val="28"/>
        </w:rPr>
      </w:pP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textAlignment w:val="auto"/>
        <w:rPr>
          <w:rFonts w:hint="eastAsia" w:ascii="宋体" w:hAnsi="宋体" w:eastAsia="宋体" w:cs="宋体"/>
          <w:sz w:val="28"/>
          <w:szCs w:val="28"/>
        </w:rPr>
      </w:pP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textAlignment w:val="auto"/>
        <w:rPr>
          <w:rFonts w:hint="eastAsia" w:ascii="宋体" w:hAnsi="宋体" w:eastAsia="宋体" w:cs="宋体"/>
          <w:sz w:val="28"/>
          <w:szCs w:val="28"/>
        </w:rPr>
      </w:pP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textAlignment w:val="auto"/>
        <w:rPr>
          <w:rFonts w:hint="eastAsia" w:ascii="宋体" w:hAnsi="宋体" w:eastAsia="宋体" w:cs="宋体"/>
          <w:sz w:val="28"/>
          <w:szCs w:val="28"/>
        </w:rPr>
      </w:pP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法定代表人（或负责人）或有权签字人（签字或签章）：</w:t>
      </w: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投标人（盖单位公章）：</w:t>
      </w: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地  址：</w:t>
      </w: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联系人：</w:t>
      </w: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电  话：</w:t>
      </w:r>
    </w:p>
    <w:p>
      <w:pPr>
        <w:pStyle w:val="19"/>
        <w:keepNext w:val="0"/>
        <w:keepLines w:val="0"/>
        <w:pageBreakBefore w:val="0"/>
        <w:widowControl/>
        <w:kinsoku w:val="0"/>
        <w:wordWrap/>
        <w:overflowPunct w:val="0"/>
        <w:topLinePunct w:val="0"/>
        <w:autoSpaceDE w:val="0"/>
        <w:autoSpaceDN w:val="0"/>
        <w:bidi w:val="0"/>
        <w:adjustRightInd w:val="0"/>
        <w:snapToGrid w:val="0"/>
        <w:spacing w:after="0" w:line="264" w:lineRule="auto"/>
        <w:ind w:firstLine="560"/>
        <w:jc w:val="left"/>
        <w:textAlignment w:val="auto"/>
        <w:rPr>
          <w:rFonts w:ascii="Times New Roman" w:hAnsi="Times New Roman"/>
          <w:sz w:val="28"/>
          <w:szCs w:val="28"/>
        </w:rPr>
        <w:sectPr>
          <w:pgSz w:w="11906" w:h="16838"/>
          <w:pgMar w:top="1474" w:right="1588" w:bottom="1474" w:left="1588" w:header="851" w:footer="992" w:gutter="0"/>
          <w:pgNumType w:fmt="decimal"/>
          <w:cols w:space="720" w:num="1"/>
          <w:docGrid w:linePitch="312" w:charSpace="0"/>
        </w:sectPr>
      </w:pPr>
      <w:r>
        <w:rPr>
          <w:rFonts w:hint="eastAsia" w:ascii="宋体" w:hAnsi="宋体" w:eastAsia="宋体" w:cs="宋体"/>
          <w:sz w:val="28"/>
          <w:szCs w:val="28"/>
        </w:rPr>
        <w:t>日  期：    年   月   日</w:t>
      </w:r>
    </w:p>
    <w:p>
      <w:pPr>
        <w:spacing w:before="240" w:beforeLines="100" w:after="240" w:afterLines="100" w:line="500" w:lineRule="exact"/>
        <w:jc w:val="center"/>
        <w:rPr>
          <w:rFonts w:eastAsia="黑体"/>
          <w:sz w:val="32"/>
          <w:szCs w:val="32"/>
        </w:rPr>
      </w:pPr>
      <w:r>
        <w:rPr>
          <w:rFonts w:eastAsia="黑体"/>
          <w:sz w:val="32"/>
          <w:szCs w:val="32"/>
        </w:rPr>
        <w:t>二、授权委托书</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（姓名）</w:t>
      </w:r>
      <w:r>
        <w:rPr>
          <w:rFonts w:hint="eastAsia" w:ascii="宋体" w:hAnsi="宋体" w:eastAsia="宋体" w:cs="宋体"/>
          <w:sz w:val="28"/>
          <w:szCs w:val="28"/>
        </w:rPr>
        <w:t>系</w:t>
      </w:r>
      <w:r>
        <w:rPr>
          <w:rFonts w:hint="eastAsia" w:ascii="宋体" w:hAnsi="宋体" w:eastAsia="宋体" w:cs="宋体"/>
          <w:sz w:val="28"/>
          <w:szCs w:val="28"/>
          <w:u w:val="single"/>
        </w:rPr>
        <w:t>（投标人名称）</w:t>
      </w:r>
      <w:r>
        <w:rPr>
          <w:rFonts w:hint="eastAsia" w:ascii="宋体" w:hAnsi="宋体" w:eastAsia="宋体" w:cs="宋体"/>
          <w:sz w:val="28"/>
          <w:szCs w:val="28"/>
        </w:rPr>
        <w:t>的法定代表人（或负责人）或有权签字人，现委托</w:t>
      </w:r>
      <w:r>
        <w:rPr>
          <w:rFonts w:hint="eastAsia" w:ascii="宋体" w:hAnsi="宋体" w:eastAsia="宋体" w:cs="宋体"/>
          <w:sz w:val="28"/>
          <w:szCs w:val="28"/>
          <w:u w:val="single"/>
        </w:rPr>
        <w:t>（姓名）</w:t>
      </w:r>
      <w:r>
        <w:rPr>
          <w:rFonts w:hint="eastAsia" w:ascii="宋体" w:hAnsi="宋体" w:eastAsia="宋体" w:cs="宋体"/>
          <w:sz w:val="28"/>
          <w:szCs w:val="28"/>
        </w:rPr>
        <w:t>为我方代理人。代理人根据授权，以我方名义领取</w:t>
      </w:r>
      <w:r>
        <w:rPr>
          <w:rFonts w:hint="eastAsia" w:ascii="宋体" w:hAnsi="宋体" w:eastAsia="宋体" w:cs="宋体"/>
          <w:sz w:val="28"/>
          <w:szCs w:val="28"/>
          <w:u w:val="single"/>
        </w:rPr>
        <w:t>合肥市产业投资控股（集团）有限公司</w:t>
      </w:r>
      <w:r>
        <w:rPr>
          <w:rFonts w:hint="eastAsia" w:ascii="宋体" w:hAnsi="宋体" w:eastAsia="宋体" w:cs="宋体"/>
          <w:sz w:val="28"/>
          <w:szCs w:val="28"/>
          <w:u w:val="single"/>
          <w:lang w:val="en-US" w:eastAsia="zh-CN"/>
        </w:rPr>
        <w:t>第二期海外债发行承销服务项目</w:t>
      </w:r>
      <w:r>
        <w:rPr>
          <w:rFonts w:hint="eastAsia" w:ascii="宋体" w:hAnsi="宋体" w:eastAsia="宋体" w:cs="宋体"/>
          <w:sz w:val="28"/>
          <w:szCs w:val="28"/>
        </w:rPr>
        <w:t>招标文件，签署、澄清、说明、补正、递交、撤回、修改</w:t>
      </w:r>
      <w:r>
        <w:rPr>
          <w:rFonts w:hint="eastAsia" w:ascii="宋体" w:hAnsi="宋体" w:eastAsia="宋体" w:cs="宋体"/>
          <w:sz w:val="28"/>
          <w:szCs w:val="28"/>
          <w:u w:val="single"/>
        </w:rPr>
        <w:t>合肥市产业投资控股（集团）有限公司</w:t>
      </w:r>
      <w:r>
        <w:rPr>
          <w:rFonts w:hint="eastAsia" w:ascii="宋体" w:hAnsi="宋体" w:eastAsia="宋体" w:cs="宋体"/>
          <w:sz w:val="28"/>
          <w:szCs w:val="28"/>
          <w:u w:val="single"/>
          <w:lang w:val="en-US" w:eastAsia="zh-CN"/>
        </w:rPr>
        <w:t>第二期海外债发行承销服务项目</w:t>
      </w:r>
      <w:r>
        <w:rPr>
          <w:rFonts w:hint="eastAsia" w:ascii="宋体" w:hAnsi="宋体" w:eastAsia="宋体" w:cs="宋体"/>
          <w:sz w:val="28"/>
          <w:szCs w:val="28"/>
        </w:rPr>
        <w:t>（项目名称）投标文件和处理有关事宜，其法律后果由我方承担。</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委托期限：自委托之日起至投标有效期或经延长的投标有效期期满后30日内。   </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代理人无转委托权。</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left"/>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sz w:val="28"/>
          <w:szCs w:val="28"/>
        </w:rPr>
      </w:pPr>
      <w:r>
        <w:rPr>
          <w:rFonts w:hint="eastAsia" w:ascii="宋体" w:hAnsi="宋体" w:eastAsia="宋体" w:cs="宋体"/>
          <w:sz w:val="28"/>
          <w:szCs w:val="28"/>
        </w:rPr>
        <w:t>附：法定代表人（或负责人）或有权签字人身份证明文件复印件</w:t>
      </w:r>
    </w:p>
    <w:p>
      <w:pPr>
        <w:keepNext w:val="0"/>
        <w:keepLines w:val="0"/>
        <w:pageBreakBefore w:val="0"/>
        <w:widowControl/>
        <w:kinsoku/>
        <w:wordWrap/>
        <w:overflowPunct/>
        <w:topLinePunct w:val="0"/>
        <w:autoSpaceDE/>
        <w:autoSpaceDN/>
        <w:bidi w:val="0"/>
        <w:adjustRightInd w:val="0"/>
        <w:snapToGrid w:val="0"/>
        <w:spacing w:after="0" w:line="360" w:lineRule="auto"/>
        <w:ind w:firstLine="3402" w:firstLineChars="1215"/>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val="0"/>
        <w:snapToGrid w:val="0"/>
        <w:spacing w:after="0" w:line="360" w:lineRule="auto"/>
        <w:ind w:firstLine="3402" w:firstLineChars="1215"/>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val="0"/>
        <w:snapToGrid w:val="0"/>
        <w:spacing w:after="0" w:line="360" w:lineRule="auto"/>
        <w:ind w:firstLine="3402" w:firstLineChars="1215"/>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18"/>
          <w:sz w:val="28"/>
          <w:szCs w:val="28"/>
        </w:rPr>
      </w:pPr>
      <w:r>
        <w:rPr>
          <w:rFonts w:hint="eastAsia" w:ascii="宋体" w:hAnsi="宋体" w:eastAsia="宋体" w:cs="宋体"/>
          <w:spacing w:val="-18"/>
          <w:sz w:val="28"/>
          <w:szCs w:val="28"/>
        </w:rPr>
        <w:t>投标人（盖单位公章）：</w:t>
      </w:r>
      <w:r>
        <w:rPr>
          <w:rFonts w:hint="eastAsia" w:ascii="宋体" w:hAnsi="宋体" w:eastAsia="宋体" w:cs="宋体"/>
          <w:spacing w:val="-18"/>
          <w:sz w:val="28"/>
          <w:szCs w:val="28"/>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18"/>
          <w:sz w:val="28"/>
          <w:szCs w:val="28"/>
        </w:rPr>
      </w:pPr>
      <w:r>
        <w:rPr>
          <w:rFonts w:hint="eastAsia" w:ascii="宋体" w:hAnsi="宋体" w:eastAsia="宋体" w:cs="宋体"/>
          <w:spacing w:val="-18"/>
          <w:sz w:val="28"/>
          <w:szCs w:val="28"/>
        </w:rPr>
        <w:t>法定代表人（或负责人）或有权签字人（</w:t>
      </w:r>
      <w:r>
        <w:rPr>
          <w:rFonts w:hint="eastAsia" w:ascii="宋体" w:hAnsi="宋体" w:eastAsia="宋体" w:cs="宋体"/>
          <w:sz w:val="28"/>
          <w:szCs w:val="28"/>
        </w:rPr>
        <w:t>签字或签章</w:t>
      </w:r>
      <w:r>
        <w:rPr>
          <w:rFonts w:hint="eastAsia" w:ascii="宋体" w:hAnsi="宋体" w:eastAsia="宋体" w:cs="宋体"/>
          <w:spacing w:val="-18"/>
          <w:sz w:val="28"/>
          <w:szCs w:val="28"/>
        </w:rPr>
        <w:t>）：</w:t>
      </w:r>
      <w:r>
        <w:rPr>
          <w:rFonts w:hint="eastAsia" w:ascii="宋体" w:hAnsi="宋体" w:eastAsia="宋体" w:cs="宋体"/>
          <w:spacing w:val="-18"/>
          <w:sz w:val="28"/>
          <w:szCs w:val="28"/>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18"/>
          <w:sz w:val="28"/>
          <w:szCs w:val="28"/>
        </w:rPr>
      </w:pPr>
      <w:r>
        <w:rPr>
          <w:rFonts w:hint="eastAsia" w:ascii="宋体" w:hAnsi="宋体" w:eastAsia="宋体" w:cs="宋体"/>
          <w:spacing w:val="-18"/>
          <w:sz w:val="28"/>
          <w:szCs w:val="28"/>
        </w:rPr>
        <w:t>身份证件号码：</w:t>
      </w:r>
      <w:r>
        <w:rPr>
          <w:rFonts w:hint="eastAsia" w:ascii="宋体" w:hAnsi="宋体" w:eastAsia="宋体" w:cs="宋体"/>
          <w:spacing w:val="-18"/>
          <w:sz w:val="28"/>
          <w:szCs w:val="28"/>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18"/>
          <w:sz w:val="28"/>
          <w:szCs w:val="28"/>
          <w:u w:val="single"/>
        </w:rPr>
      </w:pPr>
      <w:r>
        <w:rPr>
          <w:rFonts w:hint="eastAsia" w:ascii="宋体" w:hAnsi="宋体" w:eastAsia="宋体" w:cs="宋体"/>
          <w:spacing w:val="-18"/>
          <w:sz w:val="28"/>
          <w:szCs w:val="28"/>
        </w:rPr>
        <w:t>授权代理人（签字）：</w:t>
      </w:r>
      <w:r>
        <w:rPr>
          <w:rFonts w:hint="eastAsia" w:ascii="宋体" w:hAnsi="宋体" w:eastAsia="宋体" w:cs="宋体"/>
          <w:spacing w:val="-18"/>
          <w:sz w:val="28"/>
          <w:szCs w:val="28"/>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pacing w:val="-18"/>
          <w:sz w:val="28"/>
          <w:szCs w:val="28"/>
        </w:rPr>
      </w:pPr>
      <w:r>
        <w:rPr>
          <w:rFonts w:hint="eastAsia" w:ascii="宋体" w:hAnsi="宋体" w:eastAsia="宋体" w:cs="宋体"/>
          <w:spacing w:val="-18"/>
          <w:sz w:val="28"/>
          <w:szCs w:val="28"/>
        </w:rPr>
        <w:t>身份证号码：</w:t>
      </w:r>
      <w:r>
        <w:rPr>
          <w:rFonts w:hint="eastAsia" w:ascii="宋体" w:hAnsi="宋体" w:eastAsia="宋体" w:cs="宋体"/>
          <w:spacing w:val="-18"/>
          <w:sz w:val="28"/>
          <w:szCs w:val="28"/>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ind w:firstLine="1842" w:firstLineChars="755"/>
        <w:textAlignment w:val="auto"/>
        <w:rPr>
          <w:rFonts w:hint="eastAsia" w:ascii="宋体" w:hAnsi="宋体" w:eastAsia="宋体" w:cs="宋体"/>
          <w:sz w:val="28"/>
          <w:szCs w:val="28"/>
        </w:rPr>
      </w:pPr>
      <w:r>
        <w:rPr>
          <w:rFonts w:hint="eastAsia" w:ascii="宋体" w:hAnsi="宋体" w:eastAsia="宋体" w:cs="宋体"/>
          <w:spacing w:val="-18"/>
          <w:sz w:val="28"/>
          <w:szCs w:val="28"/>
        </w:rPr>
        <w:t>日      期：</w:t>
      </w:r>
      <w:r>
        <w:rPr>
          <w:rFonts w:hint="eastAsia" w:ascii="宋体" w:hAnsi="宋体" w:eastAsia="宋体" w:cs="宋体"/>
          <w:sz w:val="28"/>
          <w:szCs w:val="28"/>
        </w:rPr>
        <w:t xml:space="preserve">     年    月   日</w:t>
      </w:r>
    </w:p>
    <w:p>
      <w:pPr>
        <w:rPr>
          <w:rFonts w:hint="eastAsia" w:ascii="宋体" w:hAnsi="宋体" w:eastAsia="宋体" w:cs="宋体"/>
          <w:sz w:val="28"/>
          <w:szCs w:val="28"/>
        </w:rPr>
      </w:pPr>
      <w:r>
        <w:rPr>
          <w:rFonts w:hint="eastAsia" w:ascii="宋体" w:hAnsi="宋体" w:eastAsia="宋体" w:cs="宋体"/>
          <w:sz w:val="28"/>
          <w:szCs w:val="28"/>
        </w:rPr>
        <w:br w:type="page"/>
      </w:r>
    </w:p>
    <w:p>
      <w:pPr>
        <w:jc w:val="center"/>
        <w:rPr>
          <w:rFonts w:eastAsia="黑体"/>
          <w:sz w:val="32"/>
          <w:szCs w:val="32"/>
        </w:rPr>
      </w:pPr>
      <w:r>
        <w:rPr>
          <w:rFonts w:eastAsia="黑体"/>
          <w:sz w:val="32"/>
          <w:szCs w:val="32"/>
        </w:rPr>
        <w:t>三、报价函</w:t>
      </w:r>
    </w:p>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b/>
          <w:sz w:val="28"/>
          <w:szCs w:val="28"/>
        </w:rPr>
      </w:pPr>
    </w:p>
    <w:p>
      <w:pPr>
        <w:keepNext w:val="0"/>
        <w:keepLines w:val="0"/>
        <w:pageBreakBefore w:val="0"/>
        <w:widowControl/>
        <w:kinsoku/>
        <w:wordWrap/>
        <w:overflowPunct/>
        <w:topLinePunct w:val="0"/>
        <w:autoSpaceDE/>
        <w:autoSpaceDN/>
        <w:bidi w:val="0"/>
        <w:adjustRightInd w:val="0"/>
        <w:snapToGrid w:val="0"/>
        <w:spacing w:before="361" w:beforeLines="100" w:after="361" w:afterLines="100" w:line="44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A.说  明</w:t>
      </w:r>
    </w:p>
    <w:p>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8"/>
        </w:rPr>
      </w:pPr>
      <w:r>
        <w:rPr>
          <w:rFonts w:hint="eastAsia" w:ascii="宋体" w:hAnsi="宋体" w:eastAsia="宋体" w:cs="宋体"/>
          <w:sz w:val="28"/>
        </w:rPr>
        <w:t>1、投标人须根据报价原则进行报价。</w:t>
      </w:r>
    </w:p>
    <w:p>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8"/>
        </w:rPr>
      </w:pPr>
      <w:r>
        <w:rPr>
          <w:rFonts w:hint="eastAsia" w:ascii="宋体" w:hAnsi="宋体" w:eastAsia="宋体" w:cs="宋体"/>
          <w:sz w:val="28"/>
        </w:rPr>
        <w:t>2、承销佣金报价格式为固定值，不接受区间值、上限/下限值等报价。</w:t>
      </w:r>
    </w:p>
    <w:p>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hint="eastAsia" w:ascii="宋体" w:hAnsi="宋体" w:eastAsia="宋体" w:cs="宋体"/>
          <w:sz w:val="28"/>
        </w:rPr>
      </w:pPr>
      <w:r>
        <w:rPr>
          <w:rFonts w:hint="eastAsia" w:ascii="宋体" w:hAnsi="宋体" w:eastAsia="宋体" w:cs="宋体"/>
          <w:sz w:val="28"/>
        </w:rPr>
        <w:t>3、承销佣金为年化比率，每笔承销佣金=每笔发行金额（</w:t>
      </w:r>
      <w:r>
        <w:rPr>
          <w:rFonts w:hint="eastAsia" w:ascii="宋体" w:hAnsi="宋体" w:eastAsia="宋体" w:cs="宋体"/>
          <w:sz w:val="28"/>
          <w:lang w:val="en-US" w:eastAsia="zh-CN"/>
        </w:rPr>
        <w:t>美</w:t>
      </w:r>
      <w:r>
        <w:rPr>
          <w:rFonts w:hint="eastAsia" w:ascii="宋体" w:hAnsi="宋体" w:eastAsia="宋体" w:cs="宋体"/>
          <w:sz w:val="28"/>
        </w:rPr>
        <w:t>元）*承销佣金（%）。</w:t>
      </w:r>
    </w:p>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sz w:val="28"/>
        </w:rPr>
      </w:pPr>
    </w:p>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B.报价函</w:t>
      </w:r>
    </w:p>
    <w:p>
      <w:pPr>
        <w:keepNext w:val="0"/>
        <w:keepLines w:val="0"/>
        <w:pageBreakBefore w:val="0"/>
        <w:widowControl/>
        <w:kinsoku/>
        <w:wordWrap/>
        <w:overflowPunct/>
        <w:topLinePunct w:val="0"/>
        <w:autoSpaceDE/>
        <w:autoSpaceDN/>
        <w:bidi w:val="0"/>
        <w:adjustRightInd w:val="0"/>
        <w:snapToGrid w:val="0"/>
        <w:spacing w:after="0" w:line="500" w:lineRule="exact"/>
        <w:ind w:firstLine="7229" w:firstLineChars="2582"/>
        <w:textAlignment w:val="auto"/>
        <w:rPr>
          <w:rFonts w:hint="eastAsia" w:ascii="宋体" w:hAnsi="宋体" w:eastAsia="宋体" w:cs="宋体"/>
          <w:sz w:val="28"/>
          <w:szCs w:val="28"/>
        </w:rPr>
      </w:pPr>
    </w:p>
    <w:tbl>
      <w:tblPr>
        <w:tblStyle w:val="9"/>
        <w:tblpPr w:leftFromText="180" w:rightFromText="180" w:vertAnchor="text" w:horzAnchor="page" w:tblpX="1901" w:tblpY="173"/>
        <w:tblOverlap w:val="never"/>
        <w:tblW w:w="8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1"/>
        <w:gridCol w:w="4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1"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kern w:val="0"/>
                <w:sz w:val="28"/>
                <w:szCs w:val="21"/>
              </w:rPr>
            </w:pPr>
            <w:r>
              <w:rPr>
                <w:rFonts w:hint="eastAsia" w:ascii="宋体" w:hAnsi="宋体" w:eastAsia="宋体" w:cs="宋体"/>
                <w:b/>
                <w:sz w:val="28"/>
                <w:szCs w:val="21"/>
              </w:rPr>
              <w:t>债券类别</w:t>
            </w:r>
          </w:p>
        </w:tc>
        <w:tc>
          <w:tcPr>
            <w:tcW w:w="4052"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kern w:val="0"/>
                <w:sz w:val="28"/>
                <w:szCs w:val="21"/>
              </w:rPr>
            </w:pPr>
            <w:r>
              <w:rPr>
                <w:rFonts w:hint="eastAsia" w:ascii="宋体" w:hAnsi="宋体" w:eastAsia="宋体" w:cs="宋体"/>
                <w:b/>
                <w:kern w:val="0"/>
                <w:sz w:val="28"/>
                <w:szCs w:val="21"/>
              </w:rPr>
              <w:t>承销佣金（%）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1"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sz w:val="28"/>
                <w:szCs w:val="21"/>
                <w:lang w:val="en-US" w:eastAsia="zh-CN"/>
              </w:rPr>
            </w:pPr>
            <w:r>
              <w:rPr>
                <w:rFonts w:hint="eastAsia" w:ascii="宋体" w:hAnsi="宋体" w:eastAsia="宋体" w:cs="宋体"/>
                <w:b/>
                <w:sz w:val="28"/>
                <w:szCs w:val="21"/>
                <w:lang w:val="en-US" w:eastAsia="zh-CN"/>
              </w:rPr>
              <w:t>海外债</w:t>
            </w:r>
          </w:p>
        </w:tc>
        <w:tc>
          <w:tcPr>
            <w:tcW w:w="4052"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ind w:left="163" w:leftChars="74" w:right="156" w:rightChars="71" w:firstLine="117" w:firstLineChars="42"/>
              <w:textAlignment w:val="auto"/>
              <w:rPr>
                <w:rFonts w:hint="eastAsia" w:ascii="宋体" w:hAnsi="宋体" w:eastAsia="宋体" w:cs="宋体"/>
                <w:kern w:val="0"/>
                <w:sz w:val="28"/>
                <w:szCs w:val="21"/>
              </w:rPr>
            </w:pPr>
          </w:p>
        </w:tc>
      </w:tr>
    </w:tbl>
    <w:p>
      <w:pPr>
        <w:keepNext w:val="0"/>
        <w:keepLines w:val="0"/>
        <w:pageBreakBefore w:val="0"/>
        <w:widowControl/>
        <w:kinsoku/>
        <w:wordWrap/>
        <w:overflowPunct/>
        <w:topLinePunct w:val="0"/>
        <w:autoSpaceDE/>
        <w:autoSpaceDN/>
        <w:bidi w:val="0"/>
        <w:adjustRightInd w:val="0"/>
        <w:snapToGrid w:val="0"/>
        <w:spacing w:after="0" w:line="500" w:lineRule="exact"/>
        <w:ind w:firstLine="7229" w:firstLineChars="2582"/>
        <w:textAlignment w:val="auto"/>
        <w:rPr>
          <w:rFonts w:hint="eastAsia" w:ascii="宋体" w:hAnsi="宋体" w:eastAsia="宋体" w:cs="宋体"/>
          <w:sz w:val="28"/>
          <w:szCs w:val="28"/>
        </w:rPr>
      </w:pPr>
    </w:p>
    <w:p>
      <w:pPr>
        <w:spacing w:line="500" w:lineRule="exact"/>
        <w:rPr>
          <w:sz w:val="28"/>
          <w:szCs w:val="28"/>
        </w:rPr>
      </w:pPr>
    </w:p>
    <w:p>
      <w:pPr>
        <w:spacing w:line="50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投标人（盖单位公章）：</w:t>
      </w:r>
      <w:r>
        <w:rPr>
          <w:rFonts w:hint="eastAsia" w:ascii="宋体" w:hAnsi="宋体" w:eastAsia="宋体" w:cs="宋体"/>
          <w:sz w:val="28"/>
          <w:szCs w:val="28"/>
          <w:u w:val="single"/>
        </w:rPr>
        <w:t xml:space="preserve">                         </w:t>
      </w:r>
    </w:p>
    <w:p>
      <w:pPr>
        <w:spacing w:line="500" w:lineRule="exact"/>
        <w:ind w:firstLine="2800" w:firstLineChars="1000"/>
        <w:jc w:val="both"/>
        <w:rPr>
          <w:rFonts w:hint="eastAsia" w:ascii="宋体" w:hAnsi="宋体" w:eastAsia="宋体" w:cs="宋体"/>
          <w:sz w:val="28"/>
          <w:szCs w:val="28"/>
        </w:rPr>
      </w:pPr>
      <w:r>
        <w:rPr>
          <w:rFonts w:hint="eastAsia" w:ascii="宋体" w:hAnsi="宋体" w:eastAsia="宋体" w:cs="宋体"/>
          <w:sz w:val="28"/>
          <w:szCs w:val="28"/>
        </w:rPr>
        <w:t>授权代理人（签字）：</w:t>
      </w:r>
      <w:r>
        <w:rPr>
          <w:rFonts w:hint="eastAsia" w:ascii="宋体" w:hAnsi="宋体" w:eastAsia="宋体" w:cs="宋体"/>
          <w:sz w:val="28"/>
          <w:szCs w:val="28"/>
          <w:u w:val="single"/>
        </w:rPr>
        <w:t xml:space="preserve">                           </w:t>
      </w:r>
    </w:p>
    <w:p>
      <w:pPr>
        <w:keepNext w:val="0"/>
        <w:keepLines w:val="0"/>
        <w:pageBreakBefore w:val="0"/>
        <w:widowControl/>
        <w:kinsoku/>
        <w:wordWrap/>
        <w:overflowPunct/>
        <w:topLinePunct w:val="0"/>
        <w:autoSpaceDE/>
        <w:autoSpaceDN/>
        <w:bidi w:val="0"/>
        <w:adjustRightInd w:val="0"/>
        <w:snapToGrid w:val="0"/>
        <w:spacing w:before="181" w:beforeLines="50" w:after="181" w:afterLines="50"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日期：    年    月    日</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4"/>
        <w:kinsoku w:val="0"/>
        <w:overflowPunct w:val="0"/>
        <w:autoSpaceDE w:val="0"/>
        <w:autoSpaceDN w:val="0"/>
        <w:ind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  认购承诺函</w:t>
      </w:r>
    </w:p>
    <w:p>
      <w:pPr>
        <w:pStyle w:val="4"/>
        <w:keepNext w:val="0"/>
        <w:keepLines w:val="0"/>
        <w:pageBreakBefore w:val="0"/>
        <w:widowControl/>
        <w:kinsoku w:val="0"/>
        <w:wordWrap/>
        <w:overflowPunct w:val="0"/>
        <w:topLinePunct w:val="0"/>
        <w:autoSpaceDE w:val="0"/>
        <w:autoSpaceDN w:val="0"/>
        <w:bidi w:val="0"/>
        <w:adjustRightInd w:val="0"/>
        <w:snapToGrid w:val="0"/>
        <w:spacing w:after="0" w:line="360" w:lineRule="auto"/>
        <w:ind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致：</w:t>
      </w:r>
      <w:r>
        <w:rPr>
          <w:rFonts w:hint="eastAsia" w:ascii="宋体" w:hAnsi="宋体" w:eastAsia="宋体" w:cs="宋体"/>
          <w:sz w:val="28"/>
          <w:szCs w:val="28"/>
          <w:lang w:val="en-US" w:eastAsia="zh-CN"/>
        </w:rPr>
        <w:t>合肥市产业投资控股（集团）有限公司</w:t>
      </w:r>
    </w:p>
    <w:p>
      <w:pPr>
        <w:pStyle w:val="4"/>
        <w:keepNext w:val="0"/>
        <w:keepLines w:val="0"/>
        <w:pageBreakBefore w:val="0"/>
        <w:widowControl/>
        <w:kinsoku w:val="0"/>
        <w:wordWrap/>
        <w:overflowPunct w:val="0"/>
        <w:topLinePunct w:val="0"/>
        <w:autoSpaceDE w:val="0"/>
        <w:autoSpaceDN w:val="0"/>
        <w:bidi w:val="0"/>
        <w:adjustRightInd w:val="0"/>
        <w:snapToGrid w:val="0"/>
        <w:spacing w:after="0"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u w:val="single"/>
        </w:rPr>
        <w:t>（投标人名称）</w:t>
      </w:r>
      <w:r>
        <w:rPr>
          <w:rFonts w:hint="eastAsia" w:ascii="宋体" w:hAnsi="宋体" w:eastAsia="宋体" w:cs="宋体"/>
          <w:sz w:val="28"/>
        </w:rPr>
        <w:t>若中标</w:t>
      </w:r>
      <w:r>
        <w:rPr>
          <w:rFonts w:hint="eastAsia" w:eastAsia="宋体" w:cs="宋体"/>
          <w:sz w:val="28"/>
          <w:szCs w:val="28"/>
          <w:lang w:val="en-US" w:eastAsia="zh-CN"/>
        </w:rPr>
        <w:t>合肥市产业投资控股（集团）有限公司第二期海</w:t>
      </w:r>
      <w:r>
        <w:rPr>
          <w:rFonts w:hint="eastAsia" w:ascii="宋体" w:hAnsi="宋体" w:eastAsia="宋体" w:cs="宋体"/>
          <w:sz w:val="28"/>
          <w:szCs w:val="28"/>
        </w:rPr>
        <w:t>外债发行承销服务项目，愿接受贵方委托，作为本次境外债券的联席全球协调人。为保证贵方境外债券发行项目顺利推进，</w:t>
      </w:r>
      <w:r>
        <w:rPr>
          <w:rFonts w:hint="eastAsia" w:ascii="宋体" w:hAnsi="宋体" w:eastAsia="宋体" w:cs="宋体"/>
          <w:sz w:val="28"/>
        </w:rPr>
        <w:t>我方</w:t>
      </w:r>
      <w:r>
        <w:rPr>
          <w:rFonts w:hint="eastAsia" w:ascii="宋体" w:hAnsi="宋体" w:eastAsia="宋体" w:cs="宋体"/>
          <w:sz w:val="28"/>
          <w:szCs w:val="28"/>
        </w:rPr>
        <w:t>现不可撤销地承诺如下：</w:t>
      </w:r>
    </w:p>
    <w:p>
      <w:pPr>
        <w:pStyle w:val="4"/>
        <w:keepNext w:val="0"/>
        <w:keepLines w:val="0"/>
        <w:pageBreakBefore w:val="0"/>
        <w:widowControl/>
        <w:kinsoku w:val="0"/>
        <w:wordWrap/>
        <w:overflowPunct w:val="0"/>
        <w:topLinePunct w:val="0"/>
        <w:autoSpaceDE w:val="0"/>
        <w:autoSpaceDN w:val="0"/>
        <w:bidi w:val="0"/>
        <w:adjustRightInd w:val="0"/>
        <w:snapToGrid w:val="0"/>
        <w:spacing w:after="0" w:line="360" w:lineRule="auto"/>
        <w:ind w:firstLine="560"/>
        <w:textAlignment w:val="auto"/>
        <w:rPr>
          <w:rFonts w:hint="default" w:ascii="宋体" w:hAnsi="宋体" w:eastAsia="宋体" w:cs="宋体"/>
          <w:sz w:val="28"/>
          <w:szCs w:val="28"/>
          <w:u w:val="single"/>
          <w:lang w:val="en-US" w:eastAsia="zh-CN"/>
        </w:rPr>
      </w:pPr>
      <w:r>
        <w:rPr>
          <w:rFonts w:hint="eastAsia" w:ascii="宋体" w:hAnsi="宋体" w:eastAsia="宋体" w:cs="宋体"/>
          <w:sz w:val="28"/>
        </w:rPr>
        <w:t>我方承诺</w:t>
      </w:r>
      <w:r>
        <w:rPr>
          <w:rFonts w:hint="eastAsia" w:eastAsia="宋体" w:cs="宋体"/>
          <w:sz w:val="28"/>
          <w:lang w:val="en-US" w:eastAsia="zh-CN"/>
        </w:rPr>
        <w:t>以自营资金认购此次海外债的比例</w:t>
      </w:r>
      <w:r>
        <w:rPr>
          <w:rFonts w:hint="eastAsia" w:ascii="宋体" w:hAnsi="宋体" w:eastAsia="宋体" w:cs="宋体"/>
          <w:sz w:val="28"/>
          <w:szCs w:val="28"/>
        </w:rPr>
        <w:t>不低于</w:t>
      </w:r>
      <w:r>
        <w:rPr>
          <w:rFonts w:hint="eastAsia" w:eastAsia="宋体" w:cs="宋体"/>
          <w:sz w:val="28"/>
          <w:szCs w:val="28"/>
          <w:u w:val="single"/>
          <w:lang w:val="en-US" w:eastAsia="zh-CN"/>
        </w:rPr>
        <w:t>（整数）%</w:t>
      </w:r>
      <w:r>
        <w:rPr>
          <w:rFonts w:hint="eastAsia" w:eastAsia="宋体" w:cs="宋体"/>
          <w:sz w:val="28"/>
          <w:szCs w:val="28"/>
          <w:lang w:val="en-US" w:eastAsia="zh-CN"/>
        </w:rPr>
        <w:t>，且</w:t>
      </w:r>
      <w:r>
        <w:rPr>
          <w:rFonts w:hint="eastAsia" w:ascii="宋体" w:hAnsi="宋体" w:eastAsia="宋体" w:cs="宋体"/>
          <w:sz w:val="28"/>
          <w:szCs w:val="28"/>
          <w:lang w:val="en-US" w:eastAsia="zh-CN"/>
        </w:rPr>
        <w:t>发行利率不高于同期同评级发行人票面利率</w:t>
      </w:r>
      <w:r>
        <w:rPr>
          <w:rFonts w:hint="eastAsia" w:eastAsia="宋体" w:cs="宋体"/>
          <w:sz w:val="28"/>
          <w:szCs w:val="28"/>
          <w:lang w:val="en-US" w:eastAsia="zh-CN"/>
        </w:rPr>
        <w:t>。</w:t>
      </w:r>
    </w:p>
    <w:p>
      <w:pPr>
        <w:pStyle w:val="4"/>
        <w:keepNext w:val="0"/>
        <w:keepLines w:val="0"/>
        <w:pageBreakBefore w:val="0"/>
        <w:widowControl/>
        <w:kinsoku w:val="0"/>
        <w:wordWrap/>
        <w:overflowPunct w:val="0"/>
        <w:topLinePunct w:val="0"/>
        <w:autoSpaceDE w:val="0"/>
        <w:autoSpaceDN w:val="0"/>
        <w:bidi w:val="0"/>
        <w:adjustRightInd w:val="0"/>
        <w:snapToGrid w:val="0"/>
        <w:spacing w:after="0" w:line="360" w:lineRule="auto"/>
        <w:ind w:firstLine="560"/>
        <w:textAlignment w:val="auto"/>
        <w:rPr>
          <w:rFonts w:hint="eastAsia" w:ascii="宋体" w:hAnsi="宋体" w:eastAsia="宋体" w:cs="宋体"/>
          <w:sz w:val="28"/>
          <w:lang w:eastAsia="zh-CN"/>
        </w:rPr>
      </w:pPr>
      <w:r>
        <w:rPr>
          <w:rFonts w:hint="eastAsia" w:ascii="宋体" w:hAnsi="宋体" w:eastAsia="宋体" w:cs="宋体"/>
          <w:sz w:val="28"/>
        </w:rPr>
        <w:t>特此承诺</w:t>
      </w:r>
      <w:r>
        <w:rPr>
          <w:rFonts w:hint="eastAsia" w:eastAsia="宋体" w:cs="宋体"/>
          <w:sz w:val="28"/>
          <w:lang w:eastAsia="zh-CN"/>
        </w:rPr>
        <w:t>！</w:t>
      </w:r>
    </w:p>
    <w:p>
      <w:pPr>
        <w:pStyle w:val="4"/>
        <w:keepNext w:val="0"/>
        <w:keepLines w:val="0"/>
        <w:pageBreakBefore w:val="0"/>
        <w:widowControl/>
        <w:kinsoku w:val="0"/>
        <w:wordWrap/>
        <w:overflowPunct w:val="0"/>
        <w:topLinePunct w:val="0"/>
        <w:autoSpaceDE w:val="0"/>
        <w:autoSpaceDN w:val="0"/>
        <w:bidi w:val="0"/>
        <w:adjustRightInd w:val="0"/>
        <w:snapToGrid w:val="0"/>
        <w:spacing w:after="0" w:line="360" w:lineRule="auto"/>
        <w:ind w:firstLine="560"/>
        <w:textAlignment w:val="auto"/>
        <w:rPr>
          <w:rFonts w:hint="eastAsia" w:ascii="宋体" w:hAnsi="宋体" w:eastAsia="宋体" w:cs="宋体"/>
          <w:sz w:val="28"/>
        </w:rPr>
      </w:pPr>
    </w:p>
    <w:p>
      <w:pPr>
        <w:pStyle w:val="4"/>
        <w:keepNext w:val="0"/>
        <w:keepLines w:val="0"/>
        <w:pageBreakBefore w:val="0"/>
        <w:widowControl/>
        <w:kinsoku w:val="0"/>
        <w:wordWrap/>
        <w:overflowPunct w:val="0"/>
        <w:topLinePunct w:val="0"/>
        <w:autoSpaceDE w:val="0"/>
        <w:autoSpaceDN w:val="0"/>
        <w:bidi w:val="0"/>
        <w:adjustRightInd w:val="0"/>
        <w:snapToGrid w:val="0"/>
        <w:spacing w:after="0" w:line="360" w:lineRule="auto"/>
        <w:ind w:firstLine="560"/>
        <w:textAlignment w:val="auto"/>
        <w:rPr>
          <w:rFonts w:hint="eastAsia" w:ascii="宋体" w:hAnsi="宋体" w:eastAsia="宋体" w:cs="宋体"/>
          <w:sz w:val="28"/>
        </w:rPr>
      </w:pPr>
    </w:p>
    <w:p>
      <w:pPr>
        <w:pStyle w:val="4"/>
        <w:keepNext w:val="0"/>
        <w:keepLines w:val="0"/>
        <w:pageBreakBefore w:val="0"/>
        <w:widowControl/>
        <w:kinsoku w:val="0"/>
        <w:wordWrap/>
        <w:overflowPunct w:val="0"/>
        <w:topLinePunct w:val="0"/>
        <w:autoSpaceDE w:val="0"/>
        <w:autoSpaceDN w:val="0"/>
        <w:bidi w:val="0"/>
        <w:adjustRightInd w:val="0"/>
        <w:snapToGrid w:val="0"/>
        <w:spacing w:after="0" w:line="360" w:lineRule="auto"/>
        <w:ind w:firstLine="560"/>
        <w:textAlignment w:val="auto"/>
        <w:rPr>
          <w:rFonts w:hint="eastAsia" w:ascii="宋体" w:hAnsi="宋体" w:eastAsia="宋体" w:cs="宋体"/>
          <w:sz w:val="28"/>
        </w:rPr>
      </w:pPr>
    </w:p>
    <w:p>
      <w:pPr>
        <w:pStyle w:val="4"/>
        <w:keepNext w:val="0"/>
        <w:keepLines w:val="0"/>
        <w:pageBreakBefore w:val="0"/>
        <w:widowControl/>
        <w:kinsoku w:val="0"/>
        <w:wordWrap/>
        <w:overflowPunct w:val="0"/>
        <w:topLinePunct w:val="0"/>
        <w:autoSpaceDE w:val="0"/>
        <w:autoSpaceDN w:val="0"/>
        <w:bidi w:val="0"/>
        <w:adjustRightInd w:val="0"/>
        <w:snapToGrid w:val="0"/>
        <w:spacing w:after="0" w:line="360" w:lineRule="auto"/>
        <w:ind w:firstLine="560"/>
        <w:textAlignment w:val="auto"/>
        <w:rPr>
          <w:rFonts w:hint="eastAsia" w:ascii="宋体" w:hAnsi="宋体" w:eastAsia="宋体" w:cs="宋体"/>
          <w:sz w:val="28"/>
        </w:rPr>
      </w:pPr>
    </w:p>
    <w:p>
      <w:pPr>
        <w:pStyle w:val="4"/>
        <w:keepNext w:val="0"/>
        <w:keepLines w:val="0"/>
        <w:pageBreakBefore w:val="0"/>
        <w:widowControl/>
        <w:kinsoku w:val="0"/>
        <w:wordWrap/>
        <w:overflowPunct w:val="0"/>
        <w:topLinePunct w:val="0"/>
        <w:autoSpaceDE w:val="0"/>
        <w:autoSpaceDN w:val="0"/>
        <w:bidi w:val="0"/>
        <w:adjustRightInd w:val="0"/>
        <w:snapToGrid w:val="0"/>
        <w:spacing w:after="0" w:line="360" w:lineRule="auto"/>
        <w:ind w:firstLine="3080" w:firstLineChars="1100"/>
        <w:textAlignment w:val="auto"/>
        <w:rPr>
          <w:rFonts w:hint="eastAsia" w:ascii="宋体" w:hAnsi="宋体" w:eastAsia="宋体" w:cs="宋体"/>
          <w:sz w:val="28"/>
          <w:szCs w:val="28"/>
          <w:u w:val="single"/>
        </w:rPr>
      </w:pPr>
      <w:r>
        <w:rPr>
          <w:rFonts w:hint="eastAsia" w:ascii="宋体" w:hAnsi="宋体" w:eastAsia="宋体" w:cs="宋体"/>
          <w:sz w:val="28"/>
        </w:rPr>
        <w:t>投标人（盖单位公章）：</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3080" w:firstLineChars="1100"/>
        <w:jc w:val="both"/>
        <w:textAlignment w:val="auto"/>
        <w:rPr>
          <w:rFonts w:hint="eastAsia" w:ascii="宋体" w:hAnsi="宋体" w:eastAsia="宋体" w:cs="宋体"/>
          <w:sz w:val="28"/>
          <w:szCs w:val="28"/>
        </w:rPr>
        <w:sectPr>
          <w:pgSz w:w="11906" w:h="16838"/>
          <w:pgMar w:top="1440" w:right="1803" w:bottom="1440" w:left="1803" w:header="708" w:footer="709" w:gutter="0"/>
          <w:pgNumType w:fmt="decimal"/>
          <w:cols w:space="0" w:num="1"/>
          <w:rtlGutter w:val="0"/>
          <w:docGrid w:linePitch="360" w:charSpace="0"/>
        </w:sectPr>
      </w:pPr>
      <w:r>
        <w:rPr>
          <w:rFonts w:hint="eastAsia" w:ascii="宋体" w:hAnsi="宋体" w:eastAsia="宋体" w:cs="宋体"/>
          <w:sz w:val="28"/>
          <w:szCs w:val="28"/>
        </w:rPr>
        <w:t xml:space="preserve">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日</w:t>
      </w:r>
    </w:p>
    <w:p>
      <w:pPr>
        <w:keepNext w:val="0"/>
        <w:keepLines w:val="0"/>
        <w:pageBreakBefore w:val="0"/>
        <w:widowControl/>
        <w:kinsoku/>
        <w:wordWrap/>
        <w:overflowPunct/>
        <w:topLinePunct w:val="0"/>
        <w:autoSpaceDE/>
        <w:autoSpaceDN/>
        <w:bidi w:val="0"/>
        <w:adjustRightInd w:val="0"/>
        <w:snapToGrid w:val="0"/>
        <w:spacing w:after="0" w:line="360" w:lineRule="auto"/>
        <w:ind w:firstLine="3402" w:firstLineChars="1215"/>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  证明材料</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eastAsia" w:ascii="宋体" w:hAnsi="宋体" w:eastAsia="宋体" w:cs="宋体"/>
          <w:sz w:val="28"/>
        </w:rPr>
      </w:pPr>
      <w:r>
        <w:rPr>
          <w:rFonts w:hint="eastAsia" w:ascii="宋体" w:hAnsi="宋体" w:eastAsia="宋体" w:cs="宋体"/>
          <w:sz w:val="28"/>
        </w:rPr>
        <w:t>投标人应在此提供“投标人资格”证明材料或承诺文件。具体格式附后。</w:t>
      </w:r>
    </w:p>
    <w:p>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textAlignment w:val="auto"/>
        <w:rPr>
          <w:rFonts w:hint="default" w:ascii="宋体" w:hAnsi="宋体" w:eastAsia="宋体" w:cs="宋体"/>
          <w:b/>
          <w:bCs/>
          <w:sz w:val="28"/>
          <w:lang w:val="en-US" w:eastAsia="zh-CN"/>
        </w:rPr>
      </w:pPr>
      <w:r>
        <w:rPr>
          <w:rFonts w:hint="eastAsia" w:ascii="宋体" w:hAnsi="宋体" w:eastAsia="宋体" w:cs="宋体"/>
          <w:b/>
          <w:bCs/>
          <w:sz w:val="28"/>
          <w:lang w:val="en-US" w:eastAsia="zh-CN"/>
        </w:rPr>
        <w:t>注：投标人需对其提供材料的真实性负责，如有虚假记载，一经发现，将取消其投标资格，投标人已中标的，将取消其中标资格。</w:t>
      </w:r>
    </w:p>
    <w:p>
      <w:pPr>
        <w:rPr>
          <w:rFonts w:hint="eastAsia" w:ascii="宋体" w:hAnsi="宋体" w:eastAsia="宋体" w:cs="宋体"/>
          <w:sz w:val="28"/>
        </w:rPr>
      </w:pPr>
      <w:r>
        <w:rPr>
          <w:rFonts w:hint="eastAsia" w:ascii="宋体" w:hAnsi="宋体" w:eastAsia="宋体" w:cs="宋体"/>
          <w:sz w:val="28"/>
        </w:rPr>
        <w:br w:type="page"/>
      </w:r>
    </w:p>
    <w:p>
      <w:pPr>
        <w:keepNext w:val="0"/>
        <w:keepLines w:val="0"/>
        <w:pageBreakBefore w:val="0"/>
        <w:widowControl/>
        <w:kinsoku/>
        <w:wordWrap/>
        <w:overflowPunct/>
        <w:topLinePunct w:val="0"/>
        <w:autoSpaceDE/>
        <w:autoSpaceDN/>
        <w:bidi w:val="0"/>
        <w:adjustRightInd w:val="0"/>
        <w:snapToGrid w:val="0"/>
        <w:spacing w:before="361" w:beforeLines="100" w:after="361" w:afterLines="100" w:line="360" w:lineRule="auto"/>
        <w:jc w:val="center"/>
        <w:textAlignment w:val="auto"/>
        <w:rPr>
          <w:rFonts w:hint="eastAsia" w:ascii="黑体" w:hAnsi="黑体" w:eastAsia="黑体" w:cs="黑体"/>
          <w:kern w:val="11"/>
          <w:sz w:val="28"/>
          <w:szCs w:val="32"/>
        </w:rPr>
      </w:pPr>
      <w:r>
        <w:rPr>
          <w:rFonts w:hint="eastAsia" w:ascii="黑体" w:hAnsi="黑体" w:eastAsia="黑体" w:cs="黑体"/>
          <w:sz w:val="28"/>
          <w:lang w:val="en-US" w:eastAsia="zh-CN"/>
        </w:rPr>
        <w:t xml:space="preserve">5-1  </w:t>
      </w:r>
      <w:r>
        <w:rPr>
          <w:rFonts w:hint="eastAsia" w:ascii="黑体" w:hAnsi="黑体" w:eastAsia="黑体" w:cs="黑体"/>
          <w:kern w:val="11"/>
          <w:sz w:val="28"/>
          <w:szCs w:val="32"/>
        </w:rPr>
        <w:t>相关证照</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rPr>
      </w:pPr>
      <w:r>
        <w:rPr>
          <w:rFonts w:hint="eastAsia" w:ascii="宋体" w:hAnsi="宋体" w:eastAsia="宋体" w:cs="宋体"/>
          <w:sz w:val="28"/>
        </w:rPr>
        <w:t>投标人应在此提供营业执照副本的复印件、</w:t>
      </w:r>
      <w:r>
        <w:rPr>
          <w:rFonts w:hint="eastAsia" w:ascii="宋体" w:hAnsi="宋体" w:eastAsia="宋体" w:cs="宋体"/>
          <w:sz w:val="28"/>
          <w:highlight w:val="none"/>
          <w:lang w:val="en-US" w:eastAsia="zh-CN"/>
        </w:rPr>
        <w:t>香港证监会第一类和第四类牌照证明文件复印件</w:t>
      </w:r>
      <w:r>
        <w:rPr>
          <w:rFonts w:hint="eastAsia" w:ascii="宋体" w:hAnsi="宋体" w:eastAsia="宋体" w:cs="宋体"/>
          <w:sz w:val="28"/>
        </w:rPr>
        <w:t>，</w:t>
      </w:r>
      <w:r>
        <w:rPr>
          <w:rFonts w:hint="eastAsia" w:ascii="宋体" w:hAnsi="宋体" w:eastAsia="宋体" w:cs="宋体"/>
          <w:sz w:val="28"/>
          <w:lang w:val="en-US" w:eastAsia="zh-CN"/>
        </w:rPr>
        <w:t>上述</w:t>
      </w:r>
      <w:r>
        <w:rPr>
          <w:rFonts w:hint="eastAsia" w:ascii="宋体" w:hAnsi="宋体" w:eastAsia="宋体" w:cs="宋体"/>
          <w:sz w:val="28"/>
        </w:rPr>
        <w:t>复印件均应加盖投标人单位公章。如投标人为</w:t>
      </w:r>
      <w:r>
        <w:rPr>
          <w:rFonts w:hint="eastAsia" w:ascii="宋体" w:hAnsi="宋体" w:eastAsia="宋体" w:cs="宋体"/>
          <w:sz w:val="28"/>
          <w:lang w:val="en-US" w:eastAsia="zh-CN"/>
        </w:rPr>
        <w:t>分支机构，需另附总部有效授权文件</w:t>
      </w:r>
      <w:r>
        <w:rPr>
          <w:rFonts w:hint="eastAsia" w:ascii="宋体" w:hAnsi="宋体" w:eastAsia="宋体" w:cs="宋体"/>
          <w:sz w:val="28"/>
        </w:rPr>
        <w:t>。</w:t>
      </w:r>
    </w:p>
    <w:p>
      <w:pPr>
        <w:rPr>
          <w:rFonts w:hint="eastAsia" w:ascii="宋体" w:hAnsi="宋体" w:eastAsia="宋体" w:cs="宋体"/>
          <w:sz w:val="28"/>
        </w:rPr>
      </w:pPr>
      <w:r>
        <w:rPr>
          <w:rFonts w:hint="eastAsia" w:ascii="宋体" w:hAnsi="宋体" w:eastAsia="宋体" w:cs="宋体"/>
          <w:sz w:val="28"/>
        </w:rPr>
        <w:br w:type="page"/>
      </w:r>
    </w:p>
    <w:p>
      <w:pPr>
        <w:keepNext w:val="0"/>
        <w:keepLines w:val="0"/>
        <w:pageBreakBefore w:val="0"/>
        <w:widowControl/>
        <w:kinsoku/>
        <w:wordWrap/>
        <w:overflowPunct/>
        <w:topLinePunct w:val="0"/>
        <w:autoSpaceDE/>
        <w:autoSpaceDN/>
        <w:bidi w:val="0"/>
        <w:adjustRightInd w:val="0"/>
        <w:snapToGrid w:val="0"/>
        <w:spacing w:before="361" w:beforeLines="100" w:after="361" w:afterLines="100" w:line="360" w:lineRule="auto"/>
        <w:jc w:val="center"/>
        <w:textAlignment w:val="auto"/>
        <w:rPr>
          <w:rFonts w:hint="default" w:ascii="黑体" w:hAnsi="黑体" w:eastAsia="黑体" w:cs="黑体"/>
          <w:kern w:val="11"/>
          <w:sz w:val="28"/>
          <w:szCs w:val="32"/>
          <w:lang w:val="en-US" w:eastAsia="zh-CN"/>
        </w:rPr>
      </w:pPr>
      <w:r>
        <w:rPr>
          <w:rFonts w:hint="eastAsia" w:ascii="黑体" w:hAnsi="黑体" w:eastAsia="黑体" w:cs="黑体"/>
          <w:sz w:val="28"/>
          <w:lang w:val="en-US" w:eastAsia="zh-CN"/>
        </w:rPr>
        <w:t xml:space="preserve">5-2  </w:t>
      </w:r>
      <w:r>
        <w:rPr>
          <w:rFonts w:hint="eastAsia" w:ascii="黑体" w:hAnsi="黑体" w:eastAsia="黑体" w:cs="黑体"/>
          <w:kern w:val="11"/>
          <w:sz w:val="28"/>
          <w:szCs w:val="32"/>
          <w:lang w:val="en-US" w:eastAsia="zh-CN"/>
        </w:rPr>
        <w:t>国际信用评级</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rPr>
      </w:pPr>
      <w:r>
        <w:rPr>
          <w:rFonts w:hint="eastAsia" w:ascii="宋体" w:hAnsi="宋体" w:eastAsia="宋体" w:cs="宋体"/>
          <w:sz w:val="28"/>
        </w:rPr>
        <w:t>投标人应在此提供</w:t>
      </w:r>
      <w:r>
        <w:rPr>
          <w:rFonts w:hint="eastAsia" w:ascii="宋体" w:hAnsi="宋体" w:eastAsia="宋体" w:cs="宋体"/>
          <w:sz w:val="28"/>
          <w:lang w:val="en-US" w:eastAsia="zh-CN"/>
        </w:rPr>
        <w:t>投标人在标普、穆迪或惠誉三家机构的最高国际信用评级证明材料并加盖公章</w:t>
      </w:r>
      <w:r>
        <w:rPr>
          <w:rFonts w:hint="eastAsia" w:ascii="宋体" w:hAnsi="宋体" w:eastAsia="宋体" w:cs="宋体"/>
          <w:sz w:val="28"/>
        </w:rPr>
        <w:t>。</w:t>
      </w:r>
    </w:p>
    <w:p>
      <w:pPr>
        <w:rPr>
          <w:rFonts w:hint="eastAsia" w:ascii="宋体" w:hAnsi="宋体" w:eastAsia="宋体" w:cs="宋体"/>
          <w:sz w:val="28"/>
        </w:rPr>
      </w:pPr>
      <w:r>
        <w:rPr>
          <w:rFonts w:hint="eastAsia" w:ascii="宋体" w:hAnsi="宋体" w:eastAsia="宋体" w:cs="宋体"/>
          <w:sz w:val="28"/>
        </w:rPr>
        <w:br w:type="page"/>
      </w:r>
    </w:p>
    <w:p>
      <w:pPr>
        <w:keepNext w:val="0"/>
        <w:keepLines w:val="0"/>
        <w:pageBreakBefore w:val="0"/>
        <w:widowControl/>
        <w:kinsoku/>
        <w:wordWrap/>
        <w:overflowPunct/>
        <w:topLinePunct w:val="0"/>
        <w:autoSpaceDE/>
        <w:autoSpaceDN/>
        <w:bidi w:val="0"/>
        <w:adjustRightInd w:val="0"/>
        <w:snapToGrid w:val="0"/>
        <w:spacing w:before="361" w:beforeLines="100" w:after="361" w:afterLines="100" w:line="360" w:lineRule="auto"/>
        <w:jc w:val="center"/>
        <w:textAlignment w:val="auto"/>
        <w:rPr>
          <w:rFonts w:hint="default" w:ascii="黑体" w:hAnsi="黑体" w:eastAsia="黑体" w:cs="黑体"/>
          <w:kern w:val="11"/>
          <w:sz w:val="28"/>
          <w:szCs w:val="32"/>
          <w:lang w:val="en-US" w:eastAsia="zh-CN"/>
        </w:rPr>
      </w:pPr>
      <w:r>
        <w:rPr>
          <w:rFonts w:hint="eastAsia" w:ascii="黑体" w:hAnsi="黑体" w:eastAsia="黑体" w:cs="黑体"/>
          <w:sz w:val="28"/>
          <w:lang w:val="en-US" w:eastAsia="zh-CN"/>
        </w:rPr>
        <w:t xml:space="preserve">5-3  </w:t>
      </w:r>
      <w:r>
        <w:rPr>
          <w:rFonts w:hint="eastAsia" w:ascii="黑体" w:hAnsi="黑体" w:eastAsia="黑体" w:cs="黑体"/>
          <w:kern w:val="11"/>
          <w:sz w:val="28"/>
          <w:szCs w:val="32"/>
          <w:lang w:val="en-US" w:eastAsia="zh-CN"/>
        </w:rPr>
        <w:t>承销经验</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lang w:val="en-US" w:eastAsia="zh-CN"/>
        </w:rPr>
      </w:pPr>
      <w:r>
        <w:rPr>
          <w:rFonts w:hint="eastAsia" w:ascii="宋体" w:hAnsi="宋体" w:eastAsia="宋体" w:cs="宋体"/>
          <w:sz w:val="28"/>
        </w:rPr>
        <w:t>投标人应在此提供</w:t>
      </w:r>
      <w:r>
        <w:rPr>
          <w:rFonts w:hint="eastAsia" w:ascii="宋体" w:hAnsi="宋体" w:eastAsia="宋体" w:cs="宋体"/>
          <w:sz w:val="28"/>
          <w:lang w:val="en-US" w:eastAsia="zh-CN"/>
        </w:rPr>
        <w:t>投标人2016年1月1日至2019年11月30日期间以联席全球协调人身份承销亚洲（除日本）G3投资级（仅限惠普或穆迪或标普评级结果</w:t>
      </w:r>
      <w:r>
        <w:rPr>
          <w:rFonts w:hint="eastAsia" w:ascii="宋体" w:hAnsi="宋体" w:eastAsia="宋体" w:cs="宋体"/>
          <w:sz w:val="28"/>
          <w:highlight w:val="none"/>
          <w:lang w:val="en-US" w:eastAsia="zh-CN"/>
        </w:rPr>
        <w:t>）&amp;发行规模1亿美元以上&amp;交易期限（540天以上）</w:t>
      </w:r>
      <w:r>
        <w:rPr>
          <w:rFonts w:hint="eastAsia" w:ascii="宋体" w:hAnsi="宋体" w:eastAsia="宋体" w:cs="宋体"/>
          <w:sz w:val="28"/>
          <w:lang w:val="en-US" w:eastAsia="zh-CN"/>
        </w:rPr>
        <w:t>的承销业绩证明，需提供彭博终端网上截图并加盖公章。</w:t>
      </w:r>
    </w:p>
    <w:p>
      <w:pPr>
        <w:rPr>
          <w:rFonts w:hint="eastAsia" w:ascii="宋体" w:hAnsi="宋体" w:eastAsia="宋体" w:cs="宋体"/>
          <w:sz w:val="28"/>
          <w:lang w:val="en-US" w:eastAsia="zh-CN"/>
        </w:rPr>
      </w:pPr>
      <w:r>
        <w:rPr>
          <w:rFonts w:hint="eastAsia" w:ascii="宋体" w:hAnsi="宋体" w:eastAsia="宋体" w:cs="宋体"/>
          <w:sz w:val="28"/>
          <w:lang w:val="en-US" w:eastAsia="zh-CN"/>
        </w:rPr>
        <w:br w:type="page"/>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lang w:val="en-US" w:eastAsia="zh-CN"/>
        </w:rPr>
      </w:pPr>
    </w:p>
    <w:p>
      <w:pPr>
        <w:keepNext w:val="0"/>
        <w:keepLines w:val="0"/>
        <w:pageBreakBefore w:val="0"/>
        <w:widowControl/>
        <w:kinsoku/>
        <w:wordWrap/>
        <w:overflowPunct/>
        <w:topLinePunct w:val="0"/>
        <w:autoSpaceDE/>
        <w:autoSpaceDN/>
        <w:bidi w:val="0"/>
        <w:adjustRightInd w:val="0"/>
        <w:snapToGrid w:val="0"/>
        <w:spacing w:before="361" w:beforeLines="100" w:after="361" w:afterLines="100" w:line="360" w:lineRule="auto"/>
        <w:jc w:val="center"/>
        <w:textAlignment w:val="auto"/>
        <w:rPr>
          <w:rFonts w:hint="default" w:ascii="黑体" w:hAnsi="黑体" w:eastAsia="黑体" w:cs="黑体"/>
          <w:kern w:val="11"/>
          <w:sz w:val="28"/>
          <w:szCs w:val="32"/>
          <w:lang w:val="en-US" w:eastAsia="zh-CN"/>
        </w:rPr>
      </w:pPr>
      <w:r>
        <w:rPr>
          <w:rFonts w:hint="eastAsia" w:ascii="黑体" w:hAnsi="黑体" w:eastAsia="黑体" w:cs="黑体"/>
          <w:sz w:val="28"/>
          <w:lang w:val="en-US" w:eastAsia="zh-CN"/>
        </w:rPr>
        <w:t xml:space="preserve">5-4  </w:t>
      </w:r>
      <w:r>
        <w:rPr>
          <w:rFonts w:hint="eastAsia" w:ascii="黑体" w:hAnsi="黑体" w:eastAsia="黑体" w:cs="黑体"/>
          <w:kern w:val="11"/>
          <w:sz w:val="28"/>
          <w:szCs w:val="32"/>
          <w:lang w:val="en-US" w:eastAsia="zh-CN"/>
        </w:rPr>
        <w:t>承诺函</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heme="minorEastAsia" w:hAnsiTheme="minorEastAsia" w:eastAsiaTheme="minorEastAsia" w:cstheme="minorEastAsia"/>
          <w:sz w:val="21"/>
          <w:szCs w:val="21"/>
        </w:rPr>
      </w:pPr>
      <w:r>
        <w:rPr>
          <w:rFonts w:hint="eastAsia" w:ascii="宋体" w:hAnsi="宋体" w:eastAsia="宋体" w:cs="宋体"/>
          <w:sz w:val="28"/>
        </w:rPr>
        <w:t>投标人应在此提供</w:t>
      </w:r>
      <w:r>
        <w:rPr>
          <w:rFonts w:hint="eastAsia" w:ascii="宋体" w:hAnsi="宋体" w:eastAsia="宋体" w:cs="宋体"/>
          <w:sz w:val="28"/>
          <w:lang w:val="en-US" w:eastAsia="zh-CN"/>
        </w:rPr>
        <w:t>其未在最近三年内因骗取中标或严重违约等情形受到香港相关债券监管机构处罚的承诺函。</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lang w:val="en-US" w:eastAsia="zh-CN"/>
        </w:rPr>
      </w:pPr>
    </w:p>
    <w:p>
      <w:pPr>
        <w:rPr>
          <w:rFonts w:hint="default" w:ascii="宋体" w:hAnsi="宋体" w:eastAsia="宋体" w:cs="宋体"/>
          <w:sz w:val="28"/>
          <w:lang w:val="en-US" w:eastAsia="zh-CN"/>
        </w:rPr>
      </w:pPr>
      <w:r>
        <w:rPr>
          <w:rFonts w:hint="default" w:ascii="宋体" w:hAnsi="宋体" w:eastAsia="宋体" w:cs="宋体"/>
          <w:sz w:val="28"/>
          <w:lang w:val="en-US" w:eastAsia="zh-CN"/>
        </w:rPr>
        <w:br w:type="page"/>
      </w:r>
    </w:p>
    <w:p>
      <w:pPr>
        <w:spacing w:before="240" w:beforeLines="100" w:after="240" w:afterLines="100" w:line="500" w:lineRule="exact"/>
        <w:jc w:val="center"/>
        <w:rPr>
          <w:rFonts w:hint="default" w:eastAsia="黑体"/>
          <w:bCs/>
          <w:kern w:val="11"/>
          <w:sz w:val="28"/>
          <w:szCs w:val="28"/>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kern w:val="11"/>
          <w:sz w:val="32"/>
          <w:szCs w:val="32"/>
          <w:lang w:val="en-US" w:eastAsia="zh-CN"/>
        </w:rPr>
        <w:t>人员安排</w:t>
      </w:r>
    </w:p>
    <w:p>
      <w:pPr>
        <w:pStyle w:val="19"/>
        <w:kinsoku w:val="0"/>
        <w:overflowPunct w:val="0"/>
        <w:autoSpaceDE w:val="0"/>
        <w:autoSpaceDN w:val="0"/>
        <w:spacing w:after="240" w:afterLines="100"/>
        <w:ind w:firstLine="560"/>
        <w:jc w:val="both"/>
        <w:rPr>
          <w:rFonts w:hint="eastAsia" w:ascii="宋体" w:hAnsi="宋体" w:eastAsia="宋体" w:cs="宋体"/>
          <w:sz w:val="28"/>
        </w:rPr>
      </w:pPr>
      <w:r>
        <w:rPr>
          <w:rFonts w:hint="eastAsia" w:ascii="宋体" w:hAnsi="宋体" w:eastAsia="宋体" w:cs="宋体"/>
          <w:sz w:val="28"/>
        </w:rPr>
        <w:t>为提供全方位及专业化的服务，提高项目推进效率，加快项目实施进度，贵公司本次</w:t>
      </w:r>
      <w:r>
        <w:rPr>
          <w:rFonts w:hint="eastAsia" w:eastAsia="宋体" w:cs="宋体"/>
          <w:sz w:val="28"/>
          <w:lang w:val="en-US" w:eastAsia="zh-CN"/>
        </w:rPr>
        <w:t>境外发债</w:t>
      </w:r>
      <w:r>
        <w:rPr>
          <w:rFonts w:hint="eastAsia" w:ascii="宋体" w:hAnsi="宋体" w:eastAsia="宋体" w:cs="宋体"/>
          <w:sz w:val="28"/>
        </w:rPr>
        <w:t>项目组将由我方委派具有丰富债券承销经验的业务骨干组成</w:t>
      </w:r>
      <w:r>
        <w:rPr>
          <w:rFonts w:hint="eastAsia" w:eastAsia="宋体" w:cs="宋体"/>
          <w:sz w:val="28"/>
          <w:lang w:eastAsia="zh-CN"/>
        </w:rPr>
        <w:t>。</w:t>
      </w:r>
      <w:r>
        <w:rPr>
          <w:rFonts w:hint="eastAsia" w:eastAsia="宋体" w:cs="宋体"/>
          <w:sz w:val="28"/>
          <w:lang w:val="en-US" w:eastAsia="zh-CN"/>
        </w:rPr>
        <w:t>项目组成员</w:t>
      </w:r>
      <w:r>
        <w:rPr>
          <w:rFonts w:hint="eastAsia" w:eastAsia="宋体" w:cs="宋体"/>
          <w:b/>
          <w:bCs w:val="0"/>
          <w:sz w:val="28"/>
          <w:lang w:val="en-US" w:eastAsia="zh-CN"/>
        </w:rPr>
        <w:t>不少于4人</w:t>
      </w:r>
      <w:r>
        <w:rPr>
          <w:rFonts w:hint="eastAsia" w:eastAsia="宋体" w:cs="宋体"/>
          <w:sz w:val="28"/>
          <w:lang w:val="en-US" w:eastAsia="zh-CN"/>
        </w:rPr>
        <w:t>，至少包含一名项目负责人、一名执行负责人及一名国际评级分析顾问，</w:t>
      </w:r>
      <w:r>
        <w:rPr>
          <w:rFonts w:hint="eastAsia" w:ascii="宋体" w:hAnsi="宋体" w:eastAsia="宋体" w:cs="宋体"/>
          <w:sz w:val="28"/>
        </w:rPr>
        <w:t>具体安排如下：</w:t>
      </w:r>
    </w:p>
    <w:p>
      <w:pPr>
        <w:pStyle w:val="19"/>
        <w:kinsoku w:val="0"/>
        <w:overflowPunct w:val="0"/>
        <w:autoSpaceDE w:val="0"/>
        <w:autoSpaceDN w:val="0"/>
        <w:ind w:firstLine="0" w:firstLineChars="0"/>
        <w:jc w:val="center"/>
        <w:rPr>
          <w:rFonts w:hint="eastAsia" w:ascii="宋体" w:hAnsi="宋体" w:eastAsia="宋体" w:cs="宋体"/>
          <w:b/>
          <w:sz w:val="28"/>
        </w:rPr>
      </w:pPr>
      <w:r>
        <w:rPr>
          <w:rFonts w:hint="eastAsia" w:ascii="宋体" w:hAnsi="宋体" w:eastAsia="宋体" w:cs="宋体"/>
          <w:b/>
          <w:sz w:val="28"/>
        </w:rPr>
        <w:t>拟派项目参与人员简介</w:t>
      </w:r>
    </w:p>
    <w:tbl>
      <w:tblPr>
        <w:tblStyle w:val="9"/>
        <w:tblW w:w="8898" w:type="dxa"/>
        <w:jc w:val="center"/>
        <w:tblLayout w:type="fixed"/>
        <w:tblCellMar>
          <w:top w:w="0" w:type="dxa"/>
          <w:left w:w="108" w:type="dxa"/>
          <w:bottom w:w="0" w:type="dxa"/>
          <w:right w:w="108" w:type="dxa"/>
        </w:tblCellMar>
      </w:tblPr>
      <w:tblGrid>
        <w:gridCol w:w="1702"/>
        <w:gridCol w:w="1701"/>
        <w:gridCol w:w="1701"/>
        <w:gridCol w:w="3794"/>
      </w:tblGrid>
      <w:tr>
        <w:tblPrEx>
          <w:tblCellMar>
            <w:top w:w="0" w:type="dxa"/>
            <w:left w:w="108" w:type="dxa"/>
            <w:bottom w:w="0" w:type="dxa"/>
            <w:right w:w="108" w:type="dxa"/>
          </w:tblCellMar>
        </w:tblPrEx>
        <w:trPr>
          <w:trHeight w:val="900"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kern w:val="0"/>
                <w:sz w:val="24"/>
                <w:szCs w:val="22"/>
              </w:rPr>
            </w:pPr>
            <w:r>
              <w:rPr>
                <w:rFonts w:hint="eastAsia" w:ascii="宋体" w:hAnsi="宋体" w:eastAsia="宋体" w:cs="宋体"/>
                <w:b w:val="0"/>
                <w:bCs/>
                <w:kern w:val="0"/>
                <w:sz w:val="24"/>
                <w:szCs w:val="22"/>
              </w:rPr>
              <w:t>姓  名</w:t>
            </w:r>
          </w:p>
        </w:tc>
        <w:tc>
          <w:tcPr>
            <w:tcW w:w="17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kern w:val="0"/>
                <w:sz w:val="24"/>
                <w:szCs w:val="22"/>
              </w:rPr>
            </w:pPr>
            <w:r>
              <w:rPr>
                <w:rFonts w:hint="eastAsia" w:ascii="宋体" w:hAnsi="宋体" w:eastAsia="宋体" w:cs="宋体"/>
                <w:b w:val="0"/>
                <w:bCs/>
                <w:kern w:val="0"/>
                <w:sz w:val="24"/>
                <w:szCs w:val="22"/>
              </w:rPr>
              <w:t>在本项目中</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kern w:val="0"/>
                <w:sz w:val="24"/>
                <w:szCs w:val="22"/>
              </w:rPr>
            </w:pPr>
            <w:r>
              <w:rPr>
                <w:rFonts w:hint="eastAsia" w:ascii="宋体" w:hAnsi="宋体" w:eastAsia="宋体" w:cs="宋体"/>
                <w:b w:val="0"/>
                <w:bCs/>
                <w:kern w:val="0"/>
                <w:sz w:val="24"/>
                <w:szCs w:val="22"/>
              </w:rPr>
              <w:t>担任角色</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val="0"/>
                <w:bCs/>
                <w:kern w:val="0"/>
                <w:sz w:val="24"/>
                <w:szCs w:val="22"/>
              </w:rPr>
            </w:pPr>
            <w:r>
              <w:rPr>
                <w:rFonts w:hint="eastAsia" w:ascii="宋体" w:hAnsi="宋体" w:eastAsia="宋体" w:cs="宋体"/>
                <w:b w:val="0"/>
                <w:bCs/>
                <w:kern w:val="0"/>
                <w:sz w:val="24"/>
                <w:szCs w:val="22"/>
              </w:rPr>
              <w:t>职  务</w:t>
            </w:r>
          </w:p>
        </w:tc>
        <w:tc>
          <w:tcPr>
            <w:tcW w:w="37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b w:val="0"/>
                <w:bCs/>
                <w:kern w:val="0"/>
                <w:sz w:val="24"/>
                <w:szCs w:val="22"/>
              </w:rPr>
            </w:pPr>
            <w:r>
              <w:rPr>
                <w:rFonts w:hint="eastAsia" w:ascii="宋体" w:hAnsi="宋体" w:eastAsia="宋体" w:cs="宋体"/>
                <w:b w:val="0"/>
                <w:bCs/>
                <w:kern w:val="0"/>
                <w:sz w:val="24"/>
                <w:szCs w:val="22"/>
              </w:rPr>
              <w:t>简历</w:t>
            </w:r>
            <w:r>
              <w:rPr>
                <w:rFonts w:hint="eastAsia" w:ascii="宋体" w:hAnsi="宋体" w:eastAsia="宋体" w:cs="宋体"/>
                <w:b w:val="0"/>
                <w:bCs/>
                <w:kern w:val="0"/>
                <w:sz w:val="24"/>
                <w:szCs w:val="22"/>
                <w:lang w:eastAsia="zh-CN"/>
              </w:rPr>
              <w:t>、</w:t>
            </w:r>
            <w:r>
              <w:rPr>
                <w:rFonts w:hint="eastAsia" w:ascii="宋体" w:hAnsi="宋体" w:eastAsia="宋体" w:cs="宋体"/>
                <w:b/>
                <w:bCs w:val="0"/>
                <w:kern w:val="0"/>
                <w:sz w:val="24"/>
                <w:szCs w:val="22"/>
                <w:lang w:val="en-US" w:eastAsia="zh-CN"/>
              </w:rPr>
              <w:t>从业年限</w:t>
            </w:r>
            <w:r>
              <w:rPr>
                <w:rFonts w:hint="eastAsia" w:ascii="宋体" w:hAnsi="宋体" w:eastAsia="宋体" w:cs="宋体"/>
                <w:b w:val="0"/>
                <w:bCs/>
                <w:kern w:val="0"/>
                <w:sz w:val="24"/>
                <w:szCs w:val="22"/>
              </w:rPr>
              <w:t>及债券承销相关经验</w:t>
            </w:r>
          </w:p>
        </w:tc>
      </w:tr>
      <w:tr>
        <w:tblPrEx>
          <w:tblCellMar>
            <w:top w:w="0" w:type="dxa"/>
            <w:left w:w="108" w:type="dxa"/>
            <w:bottom w:w="0" w:type="dxa"/>
            <w:right w:w="108" w:type="dxa"/>
          </w:tblCellMar>
        </w:tblPrEx>
        <w:trPr>
          <w:trHeight w:val="907" w:hRule="atLeast"/>
          <w:jc w:val="center"/>
        </w:trPr>
        <w:tc>
          <w:tcPr>
            <w:tcW w:w="170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项目负责人</w:t>
            </w: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37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i/>
                <w:iCs/>
                <w:kern w:val="0"/>
                <w:sz w:val="22"/>
                <w:szCs w:val="22"/>
                <w:lang w:eastAsia="zh-CN"/>
              </w:rPr>
              <w:t>（</w:t>
            </w:r>
            <w:r>
              <w:rPr>
                <w:rFonts w:hint="eastAsia" w:ascii="宋体" w:hAnsi="宋体" w:eastAsia="宋体" w:cs="宋体"/>
                <w:i/>
                <w:iCs/>
                <w:kern w:val="0"/>
                <w:sz w:val="22"/>
                <w:szCs w:val="22"/>
                <w:lang w:val="en-US" w:eastAsia="zh-CN"/>
              </w:rPr>
              <w:t>须含从事美元债券发行工作年限</w:t>
            </w:r>
            <w:r>
              <w:rPr>
                <w:rFonts w:hint="eastAsia" w:ascii="宋体" w:hAnsi="宋体" w:eastAsia="宋体" w:cs="宋体"/>
                <w:i/>
                <w:iCs/>
                <w:kern w:val="0"/>
                <w:sz w:val="22"/>
                <w:szCs w:val="22"/>
                <w:lang w:eastAsia="zh-CN"/>
              </w:rPr>
              <w:t>）</w:t>
            </w: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907" w:hRule="atLeast"/>
          <w:jc w:val="center"/>
        </w:trPr>
        <w:tc>
          <w:tcPr>
            <w:tcW w:w="170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rPr>
              <w:t>　</w:t>
            </w:r>
            <w:r>
              <w:rPr>
                <w:rFonts w:hint="eastAsia" w:ascii="宋体" w:hAnsi="宋体" w:eastAsia="宋体" w:cs="宋体"/>
                <w:kern w:val="0"/>
                <w:sz w:val="22"/>
                <w:szCs w:val="22"/>
                <w:lang w:val="en-US" w:eastAsia="zh-CN"/>
              </w:rPr>
              <w:t>执行负责人</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37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i/>
                <w:iCs/>
                <w:kern w:val="0"/>
                <w:sz w:val="22"/>
                <w:szCs w:val="22"/>
                <w:lang w:eastAsia="zh-CN"/>
              </w:rPr>
              <w:t>（</w:t>
            </w:r>
            <w:r>
              <w:rPr>
                <w:rFonts w:hint="eastAsia" w:ascii="宋体" w:hAnsi="宋体" w:eastAsia="宋体" w:cs="宋体"/>
                <w:i/>
                <w:iCs/>
                <w:kern w:val="0"/>
                <w:sz w:val="22"/>
                <w:szCs w:val="22"/>
                <w:lang w:val="en-US" w:eastAsia="zh-CN"/>
              </w:rPr>
              <w:t>须含从事美元债券发行工作年限</w:t>
            </w:r>
            <w:r>
              <w:rPr>
                <w:rFonts w:hint="eastAsia" w:ascii="宋体" w:hAnsi="宋体" w:eastAsia="宋体" w:cs="宋体"/>
                <w:i/>
                <w:iCs/>
                <w:kern w:val="0"/>
                <w:sz w:val="22"/>
                <w:szCs w:val="22"/>
                <w:lang w:eastAsia="zh-CN"/>
              </w:rPr>
              <w:t>）</w:t>
            </w: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907" w:hRule="atLeast"/>
          <w:jc w:val="center"/>
        </w:trPr>
        <w:tc>
          <w:tcPr>
            <w:tcW w:w="170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rPr>
              <w:t>　</w:t>
            </w:r>
            <w:r>
              <w:rPr>
                <w:rFonts w:hint="eastAsia" w:ascii="宋体" w:hAnsi="宋体" w:eastAsia="宋体" w:cs="宋体"/>
                <w:kern w:val="0"/>
                <w:sz w:val="22"/>
                <w:szCs w:val="22"/>
                <w:lang w:val="en-US" w:eastAsia="zh-CN"/>
              </w:rPr>
              <w:t>国际评价分析顾问</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37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i/>
                <w:iCs/>
                <w:kern w:val="0"/>
                <w:sz w:val="22"/>
                <w:szCs w:val="22"/>
                <w:lang w:eastAsia="zh-CN"/>
              </w:rPr>
              <w:t>（</w:t>
            </w:r>
            <w:r>
              <w:rPr>
                <w:rFonts w:hint="eastAsia" w:ascii="宋体" w:hAnsi="宋体" w:eastAsia="宋体" w:cs="宋体"/>
                <w:i/>
                <w:iCs/>
                <w:kern w:val="0"/>
                <w:sz w:val="22"/>
                <w:szCs w:val="22"/>
                <w:lang w:val="en-US" w:eastAsia="zh-CN"/>
              </w:rPr>
              <w:t>须含从事国际评级分析工作年限</w:t>
            </w:r>
            <w:r>
              <w:rPr>
                <w:rFonts w:hint="eastAsia" w:ascii="宋体" w:hAnsi="宋体" w:eastAsia="宋体" w:cs="宋体"/>
                <w:i/>
                <w:iCs/>
                <w:kern w:val="0"/>
                <w:sz w:val="22"/>
                <w:szCs w:val="22"/>
                <w:lang w:eastAsia="zh-CN"/>
              </w:rPr>
              <w:t>）</w:t>
            </w: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907" w:hRule="atLeast"/>
          <w:jc w:val="center"/>
        </w:trPr>
        <w:tc>
          <w:tcPr>
            <w:tcW w:w="170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37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907" w:hRule="atLeast"/>
          <w:jc w:val="center"/>
        </w:trPr>
        <w:tc>
          <w:tcPr>
            <w:tcW w:w="170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37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907" w:hRule="atLeast"/>
          <w:jc w:val="center"/>
        </w:trPr>
        <w:tc>
          <w:tcPr>
            <w:tcW w:w="170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37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907" w:hRule="atLeast"/>
          <w:jc w:val="center"/>
        </w:trPr>
        <w:tc>
          <w:tcPr>
            <w:tcW w:w="170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37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907" w:hRule="atLeast"/>
          <w:jc w:val="center"/>
        </w:trPr>
        <w:tc>
          <w:tcPr>
            <w:tcW w:w="170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37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907" w:hRule="atLeast"/>
          <w:jc w:val="center"/>
        </w:trPr>
        <w:tc>
          <w:tcPr>
            <w:tcW w:w="170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37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r>
    </w:tbl>
    <w:p>
      <w:pPr>
        <w:rPr>
          <w:rFonts w:eastAsia="黑体"/>
          <w:bCs/>
          <w:kern w:val="11"/>
          <w:sz w:val="28"/>
          <w:szCs w:val="28"/>
        </w:rPr>
      </w:pPr>
      <w:r>
        <w:rPr>
          <w:rFonts w:eastAsia="黑体"/>
          <w:bCs/>
          <w:kern w:val="11"/>
          <w:sz w:val="28"/>
          <w:szCs w:val="28"/>
        </w:rPr>
        <w:br w:type="page"/>
      </w:r>
    </w:p>
    <w:p>
      <w:pPr>
        <w:spacing w:before="240" w:beforeLines="100" w:after="240" w:afterLines="100" w:line="500" w:lineRule="exact"/>
        <w:jc w:val="center"/>
        <w:rPr>
          <w:rFonts w:hint="default" w:eastAsia="黑体"/>
          <w:bCs/>
          <w:kern w:val="11"/>
          <w:sz w:val="28"/>
          <w:szCs w:val="28"/>
          <w:lang w:val="en-US" w:eastAsia="zh-CN"/>
        </w:rPr>
      </w:pPr>
      <w:r>
        <w:rPr>
          <w:rFonts w:hint="eastAsia" w:eastAsia="黑体"/>
          <w:kern w:val="11"/>
          <w:sz w:val="28"/>
          <w:szCs w:val="28"/>
          <w:lang w:val="en-US" w:eastAsia="zh-CN"/>
        </w:rPr>
        <w:t>七</w:t>
      </w:r>
      <w:r>
        <w:rPr>
          <w:rFonts w:eastAsia="黑体"/>
          <w:kern w:val="11"/>
          <w:sz w:val="28"/>
          <w:szCs w:val="28"/>
        </w:rPr>
        <w:t>、</w:t>
      </w:r>
      <w:r>
        <w:rPr>
          <w:rFonts w:hint="eastAsia" w:eastAsia="黑体"/>
          <w:bCs/>
          <w:kern w:val="11"/>
          <w:sz w:val="28"/>
          <w:szCs w:val="28"/>
          <w:lang w:val="en-US" w:eastAsia="zh-CN"/>
        </w:rPr>
        <w:t>发行方案</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rPr>
      </w:pPr>
      <w:r>
        <w:rPr>
          <w:rFonts w:hint="eastAsia" w:ascii="宋体" w:hAnsi="宋体" w:eastAsia="宋体" w:cs="宋体"/>
          <w:sz w:val="28"/>
        </w:rPr>
        <w:t>投标人应结合招标人已发行的境外美元债情况，提出本次债券方案（</w:t>
      </w:r>
      <w:r>
        <w:rPr>
          <w:rFonts w:hint="eastAsia" w:ascii="宋体" w:hAnsi="宋体" w:eastAsia="宋体" w:cs="宋体"/>
          <w:sz w:val="28"/>
          <w:lang w:val="en-US" w:eastAsia="zh-CN"/>
        </w:rPr>
        <w:t>包括但不限于</w:t>
      </w:r>
      <w:r>
        <w:rPr>
          <w:rFonts w:hint="eastAsia" w:ascii="宋体" w:hAnsi="宋体" w:eastAsia="宋体" w:cs="宋体"/>
          <w:sz w:val="28"/>
        </w:rPr>
        <w:t>发行金额、发行方式</w:t>
      </w:r>
      <w:r>
        <w:rPr>
          <w:rFonts w:hint="eastAsia" w:ascii="宋体" w:hAnsi="宋体" w:eastAsia="宋体" w:cs="宋体"/>
          <w:sz w:val="28"/>
          <w:lang w:eastAsia="zh-CN"/>
        </w:rPr>
        <w:t>、</w:t>
      </w:r>
      <w:r>
        <w:rPr>
          <w:rFonts w:hint="eastAsia" w:ascii="宋体" w:hAnsi="宋体" w:eastAsia="宋体" w:cs="宋体"/>
          <w:b/>
          <w:bCs/>
          <w:sz w:val="28"/>
          <w:lang w:val="en-US" w:eastAsia="zh-CN"/>
        </w:rPr>
        <w:t>吸引更多国际投资人</w:t>
      </w:r>
      <w:r>
        <w:rPr>
          <w:rFonts w:hint="eastAsia" w:ascii="宋体" w:hAnsi="宋体" w:eastAsia="宋体" w:cs="宋体"/>
          <w:b/>
          <w:bCs/>
          <w:sz w:val="28"/>
        </w:rPr>
        <w:t>、</w:t>
      </w:r>
      <w:r>
        <w:rPr>
          <w:rFonts w:hint="eastAsia" w:ascii="宋体" w:hAnsi="宋体" w:eastAsia="宋体" w:cs="宋体"/>
          <w:b/>
          <w:bCs/>
          <w:sz w:val="28"/>
          <w:lang w:val="en-US" w:eastAsia="zh-CN"/>
        </w:rPr>
        <w:t>足额发行</w:t>
      </w:r>
      <w:r>
        <w:rPr>
          <w:rFonts w:hint="eastAsia" w:ascii="宋体" w:hAnsi="宋体" w:eastAsia="宋体" w:cs="宋体"/>
          <w:sz w:val="28"/>
          <w:lang w:val="en-US" w:eastAsia="zh-CN"/>
        </w:rPr>
        <w:t>、</w:t>
      </w:r>
      <w:r>
        <w:rPr>
          <w:rFonts w:hint="eastAsia" w:ascii="宋体" w:hAnsi="宋体" w:eastAsia="宋体" w:cs="宋体"/>
          <w:sz w:val="28"/>
        </w:rPr>
        <w:t>国际评级、申报时间、发行时间、全球路演安排、募集资金管理、发行利率预估等）</w:t>
      </w:r>
      <w:r>
        <w:rPr>
          <w:rFonts w:hint="eastAsia" w:ascii="宋体" w:hAnsi="宋体" w:eastAsia="宋体" w:cs="宋体"/>
          <w:sz w:val="28"/>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rPr>
      </w:pPr>
    </w:p>
    <w:p>
      <w:pPr>
        <w:rPr>
          <w:rFonts w:eastAsia="黑体"/>
          <w:bCs/>
          <w:kern w:val="11"/>
          <w:sz w:val="28"/>
          <w:szCs w:val="28"/>
        </w:rPr>
      </w:pPr>
      <w:r>
        <w:rPr>
          <w:rFonts w:eastAsia="黑体"/>
          <w:bCs/>
          <w:kern w:val="11"/>
          <w:sz w:val="28"/>
          <w:szCs w:val="28"/>
        </w:rPr>
        <w:br w:type="page"/>
      </w:r>
    </w:p>
    <w:p>
      <w:pPr>
        <w:spacing w:before="240" w:beforeLines="100" w:after="240" w:afterLines="100" w:line="500" w:lineRule="exact"/>
        <w:jc w:val="center"/>
        <w:rPr>
          <w:rFonts w:eastAsia="黑体"/>
          <w:sz w:val="32"/>
          <w:szCs w:val="32"/>
        </w:rPr>
      </w:pPr>
      <w:r>
        <w:rPr>
          <w:rFonts w:hint="eastAsia" w:eastAsia="黑体"/>
          <w:sz w:val="32"/>
          <w:szCs w:val="32"/>
          <w:lang w:val="en-US" w:eastAsia="zh-CN"/>
        </w:rPr>
        <w:t>八</w:t>
      </w:r>
      <w:r>
        <w:rPr>
          <w:rFonts w:eastAsia="黑体"/>
          <w:sz w:val="32"/>
          <w:szCs w:val="32"/>
        </w:rPr>
        <w:t>、</w:t>
      </w:r>
      <w:r>
        <w:rPr>
          <w:rFonts w:eastAsia="黑体"/>
          <w:kern w:val="11"/>
          <w:sz w:val="32"/>
          <w:szCs w:val="32"/>
        </w:rPr>
        <w:t>其他资料</w:t>
      </w:r>
    </w:p>
    <w:p>
      <w:pPr>
        <w:spacing w:before="240" w:beforeLines="100" w:after="240" w:afterLines="100" w:line="500" w:lineRule="exact"/>
        <w:ind w:firstLine="560" w:firstLineChars="200"/>
        <w:jc w:val="both"/>
        <w:rPr>
          <w:rFonts w:hint="eastAsia" w:ascii="宋体" w:hAnsi="宋体" w:eastAsia="宋体" w:cs="宋体"/>
          <w:bCs/>
          <w:kern w:val="11"/>
          <w:sz w:val="28"/>
          <w:szCs w:val="28"/>
        </w:rPr>
      </w:pPr>
      <w:r>
        <w:rPr>
          <w:rFonts w:hint="eastAsia" w:ascii="宋体" w:hAnsi="宋体" w:eastAsia="宋体" w:cs="宋体"/>
          <w:sz w:val="28"/>
        </w:rPr>
        <w:t>投标人认为需要提交的其它证明材料。</w:t>
      </w:r>
    </w:p>
    <w:p>
      <w:pPr>
        <w:spacing w:before="240" w:beforeLines="100" w:after="240" w:afterLines="100" w:line="500" w:lineRule="exact"/>
        <w:jc w:val="center"/>
        <w:rPr>
          <w:rFonts w:eastAsia="黑体"/>
          <w:bCs/>
          <w:kern w:val="11"/>
          <w:sz w:val="28"/>
          <w:szCs w:val="28"/>
        </w:rPr>
      </w:pPr>
    </w:p>
    <w:p>
      <w:pPr>
        <w:spacing w:before="240" w:beforeLines="100" w:after="240" w:afterLines="100" w:line="500" w:lineRule="exact"/>
        <w:jc w:val="center"/>
        <w:rPr>
          <w:rFonts w:eastAsia="黑体"/>
          <w:bCs/>
          <w:kern w:val="11"/>
          <w:sz w:val="28"/>
          <w:szCs w:val="28"/>
        </w:rPr>
      </w:pPr>
    </w:p>
    <w:p>
      <w:pPr>
        <w:spacing w:before="240" w:beforeLines="100" w:after="240" w:afterLines="100" w:line="500" w:lineRule="exact"/>
        <w:jc w:val="center"/>
        <w:rPr>
          <w:rFonts w:eastAsia="黑体"/>
          <w:bCs/>
          <w:kern w:val="11"/>
          <w:sz w:val="28"/>
          <w:szCs w:val="28"/>
        </w:rPr>
      </w:pPr>
    </w:p>
    <w:p>
      <w:pPr>
        <w:spacing w:before="240" w:beforeLines="100" w:after="240" w:afterLines="100" w:line="500" w:lineRule="exact"/>
        <w:jc w:val="center"/>
        <w:rPr>
          <w:rFonts w:eastAsia="黑体"/>
          <w:bCs/>
          <w:kern w:val="11"/>
          <w:sz w:val="28"/>
          <w:szCs w:val="28"/>
        </w:rPr>
      </w:pPr>
    </w:p>
    <w:p>
      <w:pPr>
        <w:spacing w:before="240" w:beforeLines="100" w:after="240" w:afterLines="100" w:line="500" w:lineRule="exact"/>
        <w:jc w:val="center"/>
        <w:rPr>
          <w:rFonts w:eastAsia="黑体"/>
          <w:bCs/>
          <w:kern w:val="11"/>
          <w:sz w:val="28"/>
          <w:szCs w:val="28"/>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jc w:val="both"/>
        <w:textAlignment w:val="auto"/>
        <w:rPr>
          <w:rFonts w:hint="default" w:ascii="黑体" w:hAnsi="黑体" w:eastAsia="黑体" w:cs="黑体"/>
          <w:b/>
          <w:bCs/>
          <w:sz w:val="44"/>
          <w:szCs w:val="44"/>
          <w:lang w:val="en-US" w:eastAsia="zh-CN"/>
        </w:rPr>
      </w:pPr>
    </w:p>
    <w:sectPr>
      <w:pgSz w:w="11906" w:h="16838"/>
      <w:pgMar w:top="1440" w:right="1803" w:bottom="1440" w:left="1803" w:header="708" w:footer="709"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Sim Hei">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928"/>
      </w:tabs>
      <w:jc w:val="center"/>
      <w:rPr>
        <w:rFonts w:hint="default" w:eastAsia="微软雅黑"/>
        <w:lang w:val="en-US" w:eastAsia="zh-CN"/>
      </w:rPr>
    </w:pPr>
    <w:r>
      <w:rPr>
        <w:rFonts w:hint="eastAsia"/>
        <w:lang w:val="en-US" w:eastAsia="zh-CN"/>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8" w:space="1"/>
      </w:pBdr>
      <w:jc w:val="both"/>
      <w:rPr>
        <w:rFonts w:ascii="黑体" w:eastAsia="黑体"/>
      </w:rPr>
    </w:pPr>
    <w:r>
      <w:rPr>
        <w:rFonts w:hint="eastAsia" w:ascii="宋体" w:hAnsi="宋体"/>
        <w:b/>
      </w:rPr>
      <w:t>产投集团</w:t>
    </w:r>
    <w:r>
      <w:rPr>
        <w:rFonts w:hint="eastAsia" w:ascii="宋体" w:hAnsi="宋体"/>
        <w:b/>
        <w:lang w:val="en-US" w:eastAsia="zh-CN"/>
      </w:rPr>
      <w:t>第二期海外债</w:t>
    </w:r>
    <w:r>
      <w:rPr>
        <w:rFonts w:hint="eastAsia" w:ascii="宋体" w:hAnsi="宋体"/>
        <w:b/>
      </w:rPr>
      <w:t xml:space="preserve">发行承销服务项目                                    </w:t>
    </w:r>
    <w:r>
      <w:rPr>
        <w:rFonts w:hint="eastAsia" w:ascii="宋体" w:hAnsi="宋体"/>
        <w:b/>
        <w:lang w:val="en-US" w:eastAsia="zh-CN"/>
      </w:rPr>
      <w:t xml:space="preserve">            </w:t>
    </w:r>
    <w:r>
      <w:rPr>
        <w:rFonts w:hint="eastAsia" w:ascii="宋体" w:hAnsi="宋体"/>
        <w:b/>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8" w:space="1"/>
      </w:pBdr>
      <w:jc w:val="both"/>
      <w:rPr>
        <w:rFonts w:ascii="黑体" w:eastAsia="黑体"/>
      </w:rPr>
    </w:pPr>
    <w:r>
      <w:rPr>
        <w:rFonts w:hint="eastAsia" w:ascii="宋体" w:hAnsi="宋体"/>
        <w:b/>
      </w:rPr>
      <w:t>产投集团</w:t>
    </w:r>
    <w:r>
      <w:rPr>
        <w:rFonts w:hint="eastAsia" w:ascii="宋体" w:hAnsi="宋体"/>
        <w:b/>
        <w:lang w:val="en-US" w:eastAsia="zh-CN"/>
      </w:rPr>
      <w:t>第二期海外债</w:t>
    </w:r>
    <w:r>
      <w:rPr>
        <w:rFonts w:hint="eastAsia" w:ascii="宋体" w:hAnsi="宋体"/>
        <w:b/>
      </w:rPr>
      <w:t>发行承销服务项目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8" w:space="1"/>
      </w:pBdr>
      <w:jc w:val="both"/>
      <w:rPr>
        <w:rFonts w:ascii="黑体" w:eastAsia="黑体"/>
      </w:rPr>
    </w:pPr>
    <w:r>
      <w:rPr>
        <w:rFonts w:hint="eastAsia" w:ascii="宋体" w:hAnsi="宋体"/>
        <w:b/>
      </w:rPr>
      <w:t>产投集团</w:t>
    </w:r>
    <w:r>
      <w:rPr>
        <w:rFonts w:hint="eastAsia" w:ascii="宋体" w:hAnsi="宋体"/>
        <w:b/>
        <w:lang w:val="en-US" w:eastAsia="zh-CN"/>
      </w:rPr>
      <w:t>第二期海外债</w:t>
    </w:r>
    <w:r>
      <w:rPr>
        <w:rFonts w:hint="eastAsia" w:ascii="宋体" w:hAnsi="宋体"/>
        <w:b/>
      </w:rPr>
      <w:t>发行承销服务项目                                         投标文件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22EE"/>
    <w:multiLevelType w:val="singleLevel"/>
    <w:tmpl w:val="004A22EE"/>
    <w:lvl w:ilvl="0" w:tentative="0">
      <w:start w:val="1"/>
      <w:numFmt w:val="chineseCounting"/>
      <w:suff w:val="space"/>
      <w:lvlText w:val="第%1章"/>
      <w:lvlJc w:val="left"/>
      <w:rPr>
        <w:rFonts w:hint="eastAsia"/>
      </w:rPr>
    </w:lvl>
  </w:abstractNum>
  <w:abstractNum w:abstractNumId="1">
    <w:nsid w:val="09A0C467"/>
    <w:multiLevelType w:val="singleLevel"/>
    <w:tmpl w:val="09A0C467"/>
    <w:lvl w:ilvl="0" w:tentative="0">
      <w:start w:val="1"/>
      <w:numFmt w:val="bullet"/>
      <w:lvlText w:val=""/>
      <w:lvlJc w:val="left"/>
      <w:pPr>
        <w:ind w:left="420" w:hanging="420"/>
      </w:pPr>
      <w:rPr>
        <w:rFonts w:hint="default" w:ascii="Wingdings" w:hAnsi="Wingdings"/>
      </w:rPr>
    </w:lvl>
  </w:abstractNum>
  <w:abstractNum w:abstractNumId="2">
    <w:nsid w:val="2EE82BEE"/>
    <w:multiLevelType w:val="multilevel"/>
    <w:tmpl w:val="2EE82BEE"/>
    <w:lvl w:ilvl="0" w:tentative="0">
      <w:start w:val="0"/>
      <w:numFmt w:val="bullet"/>
      <w:lvlText w:val=""/>
      <w:lvlJc w:val="left"/>
      <w:pPr>
        <w:ind w:left="105" w:hanging="420"/>
      </w:pPr>
      <w:rPr>
        <w:rFonts w:hint="default" w:ascii="Wingdings" w:hAnsi="Wingdings" w:eastAsia="Wingdings" w:cs="Wingdings"/>
        <w:w w:val="100"/>
        <w:sz w:val="21"/>
        <w:szCs w:val="21"/>
        <w:lang w:val="zh-CN" w:eastAsia="zh-CN" w:bidi="zh-CN"/>
      </w:rPr>
    </w:lvl>
    <w:lvl w:ilvl="1" w:tentative="0">
      <w:start w:val="0"/>
      <w:numFmt w:val="bullet"/>
      <w:lvlText w:val="•"/>
      <w:lvlJc w:val="left"/>
      <w:pPr>
        <w:ind w:left="728" w:hanging="420"/>
      </w:pPr>
      <w:rPr>
        <w:rFonts w:hint="default"/>
        <w:lang w:val="zh-CN" w:eastAsia="zh-CN" w:bidi="zh-CN"/>
      </w:rPr>
    </w:lvl>
    <w:lvl w:ilvl="2" w:tentative="0">
      <w:start w:val="0"/>
      <w:numFmt w:val="bullet"/>
      <w:lvlText w:val="•"/>
      <w:lvlJc w:val="left"/>
      <w:pPr>
        <w:ind w:left="1356" w:hanging="420"/>
      </w:pPr>
      <w:rPr>
        <w:rFonts w:hint="default"/>
        <w:lang w:val="zh-CN" w:eastAsia="zh-CN" w:bidi="zh-CN"/>
      </w:rPr>
    </w:lvl>
    <w:lvl w:ilvl="3" w:tentative="0">
      <w:start w:val="0"/>
      <w:numFmt w:val="bullet"/>
      <w:lvlText w:val="•"/>
      <w:lvlJc w:val="left"/>
      <w:pPr>
        <w:ind w:left="1984" w:hanging="420"/>
      </w:pPr>
      <w:rPr>
        <w:rFonts w:hint="default"/>
        <w:lang w:val="zh-CN" w:eastAsia="zh-CN" w:bidi="zh-CN"/>
      </w:rPr>
    </w:lvl>
    <w:lvl w:ilvl="4" w:tentative="0">
      <w:start w:val="0"/>
      <w:numFmt w:val="bullet"/>
      <w:lvlText w:val="•"/>
      <w:lvlJc w:val="left"/>
      <w:pPr>
        <w:ind w:left="2612" w:hanging="420"/>
      </w:pPr>
      <w:rPr>
        <w:rFonts w:hint="default"/>
        <w:lang w:val="zh-CN" w:eastAsia="zh-CN" w:bidi="zh-CN"/>
      </w:rPr>
    </w:lvl>
    <w:lvl w:ilvl="5" w:tentative="0">
      <w:start w:val="0"/>
      <w:numFmt w:val="bullet"/>
      <w:lvlText w:val="•"/>
      <w:lvlJc w:val="left"/>
      <w:pPr>
        <w:ind w:left="3241" w:hanging="420"/>
      </w:pPr>
      <w:rPr>
        <w:rFonts w:hint="default"/>
        <w:lang w:val="zh-CN" w:eastAsia="zh-CN" w:bidi="zh-CN"/>
      </w:rPr>
    </w:lvl>
    <w:lvl w:ilvl="6" w:tentative="0">
      <w:start w:val="0"/>
      <w:numFmt w:val="bullet"/>
      <w:lvlText w:val="•"/>
      <w:lvlJc w:val="left"/>
      <w:pPr>
        <w:ind w:left="3869" w:hanging="420"/>
      </w:pPr>
      <w:rPr>
        <w:rFonts w:hint="default"/>
        <w:lang w:val="zh-CN" w:eastAsia="zh-CN" w:bidi="zh-CN"/>
      </w:rPr>
    </w:lvl>
    <w:lvl w:ilvl="7" w:tentative="0">
      <w:start w:val="0"/>
      <w:numFmt w:val="bullet"/>
      <w:lvlText w:val="•"/>
      <w:lvlJc w:val="left"/>
      <w:pPr>
        <w:ind w:left="4497" w:hanging="420"/>
      </w:pPr>
      <w:rPr>
        <w:rFonts w:hint="default"/>
        <w:lang w:val="zh-CN" w:eastAsia="zh-CN" w:bidi="zh-CN"/>
      </w:rPr>
    </w:lvl>
    <w:lvl w:ilvl="8" w:tentative="0">
      <w:start w:val="0"/>
      <w:numFmt w:val="bullet"/>
      <w:lvlText w:val="•"/>
      <w:lvlJc w:val="left"/>
      <w:pPr>
        <w:ind w:left="5125" w:hanging="420"/>
      </w:pPr>
      <w:rPr>
        <w:rFonts w:hint="default"/>
        <w:lang w:val="zh-CN" w:eastAsia="zh-CN" w:bidi="zh-CN"/>
      </w:rPr>
    </w:lvl>
  </w:abstractNum>
  <w:abstractNum w:abstractNumId="3">
    <w:nsid w:val="7C27FACE"/>
    <w:multiLevelType w:val="singleLevel"/>
    <w:tmpl w:val="7C27FACE"/>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ocumentProtection w:enforcement="0"/>
  <w:defaultTabStop w:val="720"/>
  <w:characterSpacingControl w:val="doNotCompress"/>
  <w:hdrShapeDefaults>
    <o:shapelayout v:ext="edit">
      <o:idmap v:ext="edit" data="3,4"/>
    </o:shapelayout>
  </w:hdrShapeDefaults>
  <w:compat>
    <w:useFELayout/>
    <w:compatSetting w:name="compatibilityMode" w:uri="http://schemas.microsoft.com/office/word" w:val="12"/>
  </w:compat>
  <w:rsids>
    <w:rsidRoot w:val="00D31D50"/>
    <w:rsid w:val="00323B43"/>
    <w:rsid w:val="003D37D8"/>
    <w:rsid w:val="00420ABD"/>
    <w:rsid w:val="00426133"/>
    <w:rsid w:val="004358AB"/>
    <w:rsid w:val="008B7726"/>
    <w:rsid w:val="0097402F"/>
    <w:rsid w:val="00D31D50"/>
    <w:rsid w:val="01101D4F"/>
    <w:rsid w:val="013168AE"/>
    <w:rsid w:val="01351C6C"/>
    <w:rsid w:val="015553DB"/>
    <w:rsid w:val="017D1977"/>
    <w:rsid w:val="01873A38"/>
    <w:rsid w:val="01A00B85"/>
    <w:rsid w:val="01A23909"/>
    <w:rsid w:val="01F06FBE"/>
    <w:rsid w:val="024A31D7"/>
    <w:rsid w:val="02913A69"/>
    <w:rsid w:val="02B928FE"/>
    <w:rsid w:val="02C403E7"/>
    <w:rsid w:val="030C3816"/>
    <w:rsid w:val="03224A1D"/>
    <w:rsid w:val="0368791B"/>
    <w:rsid w:val="03CE0C1C"/>
    <w:rsid w:val="03E91334"/>
    <w:rsid w:val="041760C4"/>
    <w:rsid w:val="047A37F9"/>
    <w:rsid w:val="049508AE"/>
    <w:rsid w:val="04977FE3"/>
    <w:rsid w:val="04A6213D"/>
    <w:rsid w:val="04D55F95"/>
    <w:rsid w:val="04D914A9"/>
    <w:rsid w:val="04EC5603"/>
    <w:rsid w:val="0512698B"/>
    <w:rsid w:val="058D5EFA"/>
    <w:rsid w:val="05C6763F"/>
    <w:rsid w:val="06152658"/>
    <w:rsid w:val="06C53BCF"/>
    <w:rsid w:val="070876F1"/>
    <w:rsid w:val="072B590C"/>
    <w:rsid w:val="075E6751"/>
    <w:rsid w:val="076C2991"/>
    <w:rsid w:val="07AA7D17"/>
    <w:rsid w:val="07B8587C"/>
    <w:rsid w:val="07BB3C9A"/>
    <w:rsid w:val="07D043E7"/>
    <w:rsid w:val="084521DF"/>
    <w:rsid w:val="086D6AD4"/>
    <w:rsid w:val="088139DC"/>
    <w:rsid w:val="089627C1"/>
    <w:rsid w:val="08A33E17"/>
    <w:rsid w:val="091B0BC5"/>
    <w:rsid w:val="09625CF4"/>
    <w:rsid w:val="096D0EE7"/>
    <w:rsid w:val="09995CBA"/>
    <w:rsid w:val="09FB4DC7"/>
    <w:rsid w:val="0A122514"/>
    <w:rsid w:val="0A4453EB"/>
    <w:rsid w:val="0AB979E2"/>
    <w:rsid w:val="0BA770EE"/>
    <w:rsid w:val="0BB9066B"/>
    <w:rsid w:val="0C0A2C1C"/>
    <w:rsid w:val="0C1576B1"/>
    <w:rsid w:val="0C1E4C4A"/>
    <w:rsid w:val="0C2626D8"/>
    <w:rsid w:val="0C4C21E9"/>
    <w:rsid w:val="0C955001"/>
    <w:rsid w:val="0CB53932"/>
    <w:rsid w:val="0CDA0584"/>
    <w:rsid w:val="0DCB0C28"/>
    <w:rsid w:val="0DDF6163"/>
    <w:rsid w:val="0DFB5686"/>
    <w:rsid w:val="0E4465E3"/>
    <w:rsid w:val="0E484188"/>
    <w:rsid w:val="0E511016"/>
    <w:rsid w:val="0E5E3845"/>
    <w:rsid w:val="0EC76F0E"/>
    <w:rsid w:val="0EE950B0"/>
    <w:rsid w:val="0F1A0FB3"/>
    <w:rsid w:val="0F24516C"/>
    <w:rsid w:val="0F347136"/>
    <w:rsid w:val="0F947257"/>
    <w:rsid w:val="0FB65DA7"/>
    <w:rsid w:val="0FCB30A6"/>
    <w:rsid w:val="0FD477B5"/>
    <w:rsid w:val="10032658"/>
    <w:rsid w:val="101A1341"/>
    <w:rsid w:val="10515CD4"/>
    <w:rsid w:val="105855A0"/>
    <w:rsid w:val="106C68D3"/>
    <w:rsid w:val="10E744C8"/>
    <w:rsid w:val="11260361"/>
    <w:rsid w:val="118D1EBD"/>
    <w:rsid w:val="119A7119"/>
    <w:rsid w:val="12167BC1"/>
    <w:rsid w:val="123325B2"/>
    <w:rsid w:val="12A74AFD"/>
    <w:rsid w:val="12BF178D"/>
    <w:rsid w:val="12D3331C"/>
    <w:rsid w:val="13136F1B"/>
    <w:rsid w:val="13403489"/>
    <w:rsid w:val="13575580"/>
    <w:rsid w:val="13626257"/>
    <w:rsid w:val="13F727B2"/>
    <w:rsid w:val="140013C8"/>
    <w:rsid w:val="14400C6F"/>
    <w:rsid w:val="144A3E0D"/>
    <w:rsid w:val="14BE29EA"/>
    <w:rsid w:val="14F8695C"/>
    <w:rsid w:val="14FA28B7"/>
    <w:rsid w:val="150B4757"/>
    <w:rsid w:val="156D4D77"/>
    <w:rsid w:val="15777D5F"/>
    <w:rsid w:val="15BE097E"/>
    <w:rsid w:val="15CD3BF2"/>
    <w:rsid w:val="15E61BD2"/>
    <w:rsid w:val="161418E4"/>
    <w:rsid w:val="161B0D65"/>
    <w:rsid w:val="16556C5D"/>
    <w:rsid w:val="16965067"/>
    <w:rsid w:val="16A1359D"/>
    <w:rsid w:val="171250F4"/>
    <w:rsid w:val="17A60408"/>
    <w:rsid w:val="17DB2DD8"/>
    <w:rsid w:val="17F16DF4"/>
    <w:rsid w:val="18FB36F5"/>
    <w:rsid w:val="191D22A9"/>
    <w:rsid w:val="194C06FB"/>
    <w:rsid w:val="19745AA7"/>
    <w:rsid w:val="19BD21D9"/>
    <w:rsid w:val="19D707C3"/>
    <w:rsid w:val="1A0B77DC"/>
    <w:rsid w:val="1A2C1878"/>
    <w:rsid w:val="1A7A5BC1"/>
    <w:rsid w:val="1AFB4DC1"/>
    <w:rsid w:val="1B2C728E"/>
    <w:rsid w:val="1B4F7623"/>
    <w:rsid w:val="1B7E072D"/>
    <w:rsid w:val="1BA30A95"/>
    <w:rsid w:val="1BF131F0"/>
    <w:rsid w:val="1C035D9F"/>
    <w:rsid w:val="1CCE5438"/>
    <w:rsid w:val="1D1C50D5"/>
    <w:rsid w:val="1D50225F"/>
    <w:rsid w:val="1D5C1BB9"/>
    <w:rsid w:val="1D6F04C0"/>
    <w:rsid w:val="1DAE7F51"/>
    <w:rsid w:val="1DD578AF"/>
    <w:rsid w:val="1DEE203D"/>
    <w:rsid w:val="1DF23A05"/>
    <w:rsid w:val="1E20154C"/>
    <w:rsid w:val="1E337D61"/>
    <w:rsid w:val="1E4C3CE2"/>
    <w:rsid w:val="1E6225B6"/>
    <w:rsid w:val="1E6E04CC"/>
    <w:rsid w:val="1E8906C6"/>
    <w:rsid w:val="1EA95BFD"/>
    <w:rsid w:val="1ED5370F"/>
    <w:rsid w:val="1F310DF4"/>
    <w:rsid w:val="1FC34E7C"/>
    <w:rsid w:val="1FF558AD"/>
    <w:rsid w:val="205D16D2"/>
    <w:rsid w:val="20AC34F5"/>
    <w:rsid w:val="20AC6DE2"/>
    <w:rsid w:val="20DB5DF7"/>
    <w:rsid w:val="215330C4"/>
    <w:rsid w:val="21775E3B"/>
    <w:rsid w:val="218A0AFE"/>
    <w:rsid w:val="21B34C6D"/>
    <w:rsid w:val="224D3BA6"/>
    <w:rsid w:val="22584885"/>
    <w:rsid w:val="22DF1441"/>
    <w:rsid w:val="230019FE"/>
    <w:rsid w:val="233229BE"/>
    <w:rsid w:val="23FD6FAF"/>
    <w:rsid w:val="25101ED1"/>
    <w:rsid w:val="25256E39"/>
    <w:rsid w:val="25371188"/>
    <w:rsid w:val="25615693"/>
    <w:rsid w:val="257D24E5"/>
    <w:rsid w:val="25850472"/>
    <w:rsid w:val="25A43519"/>
    <w:rsid w:val="25A82536"/>
    <w:rsid w:val="25F83658"/>
    <w:rsid w:val="266E77ED"/>
    <w:rsid w:val="26C201EB"/>
    <w:rsid w:val="26C47711"/>
    <w:rsid w:val="27630847"/>
    <w:rsid w:val="278E7F14"/>
    <w:rsid w:val="27A80811"/>
    <w:rsid w:val="27BF66F1"/>
    <w:rsid w:val="27E93B00"/>
    <w:rsid w:val="27F5390B"/>
    <w:rsid w:val="27FC4E8F"/>
    <w:rsid w:val="283B590C"/>
    <w:rsid w:val="28820A1B"/>
    <w:rsid w:val="28CA7FC0"/>
    <w:rsid w:val="29326ED2"/>
    <w:rsid w:val="293A49FB"/>
    <w:rsid w:val="295755F9"/>
    <w:rsid w:val="29960649"/>
    <w:rsid w:val="2A173AEB"/>
    <w:rsid w:val="2A500708"/>
    <w:rsid w:val="2A887EBD"/>
    <w:rsid w:val="2AFC4C4F"/>
    <w:rsid w:val="2B346845"/>
    <w:rsid w:val="2B5D1C49"/>
    <w:rsid w:val="2C271962"/>
    <w:rsid w:val="2C4D5C4D"/>
    <w:rsid w:val="2C5E5F7E"/>
    <w:rsid w:val="2C8A3A8B"/>
    <w:rsid w:val="2D1F2E11"/>
    <w:rsid w:val="2D9839B7"/>
    <w:rsid w:val="2D9C084C"/>
    <w:rsid w:val="2DF07B11"/>
    <w:rsid w:val="2E0555D2"/>
    <w:rsid w:val="2E770617"/>
    <w:rsid w:val="2EE52F92"/>
    <w:rsid w:val="2EF2688B"/>
    <w:rsid w:val="2F106E5C"/>
    <w:rsid w:val="2F3B2A59"/>
    <w:rsid w:val="304A05E2"/>
    <w:rsid w:val="30D20156"/>
    <w:rsid w:val="310B6F60"/>
    <w:rsid w:val="3122192A"/>
    <w:rsid w:val="31307F66"/>
    <w:rsid w:val="317D7532"/>
    <w:rsid w:val="31933C2D"/>
    <w:rsid w:val="31A17ADF"/>
    <w:rsid w:val="31D41BEB"/>
    <w:rsid w:val="31E50515"/>
    <w:rsid w:val="31F40B79"/>
    <w:rsid w:val="320F5423"/>
    <w:rsid w:val="32141AD6"/>
    <w:rsid w:val="327E5E13"/>
    <w:rsid w:val="32984D7C"/>
    <w:rsid w:val="32B41AAD"/>
    <w:rsid w:val="32CC1575"/>
    <w:rsid w:val="33092BED"/>
    <w:rsid w:val="33520417"/>
    <w:rsid w:val="33717621"/>
    <w:rsid w:val="33767FA0"/>
    <w:rsid w:val="3384444C"/>
    <w:rsid w:val="33BD4844"/>
    <w:rsid w:val="33C366E6"/>
    <w:rsid w:val="33CB6345"/>
    <w:rsid w:val="33D21757"/>
    <w:rsid w:val="33D47C12"/>
    <w:rsid w:val="3443754C"/>
    <w:rsid w:val="349529EA"/>
    <w:rsid w:val="349B0829"/>
    <w:rsid w:val="34BD3CDE"/>
    <w:rsid w:val="351557E5"/>
    <w:rsid w:val="35663A01"/>
    <w:rsid w:val="35963299"/>
    <w:rsid w:val="35A6552F"/>
    <w:rsid w:val="35AD51C0"/>
    <w:rsid w:val="35B90438"/>
    <w:rsid w:val="35BD3236"/>
    <w:rsid w:val="35F85971"/>
    <w:rsid w:val="360818FB"/>
    <w:rsid w:val="364941F6"/>
    <w:rsid w:val="36B80780"/>
    <w:rsid w:val="36D3408A"/>
    <w:rsid w:val="36EC257F"/>
    <w:rsid w:val="36F60FB6"/>
    <w:rsid w:val="371B6915"/>
    <w:rsid w:val="37257D8F"/>
    <w:rsid w:val="372845F1"/>
    <w:rsid w:val="372B7985"/>
    <w:rsid w:val="373F6D81"/>
    <w:rsid w:val="37662700"/>
    <w:rsid w:val="37CF5AEA"/>
    <w:rsid w:val="37D32D8B"/>
    <w:rsid w:val="38281478"/>
    <w:rsid w:val="38932D7B"/>
    <w:rsid w:val="38AF502B"/>
    <w:rsid w:val="38B63097"/>
    <w:rsid w:val="38B81A56"/>
    <w:rsid w:val="393507DA"/>
    <w:rsid w:val="396565C7"/>
    <w:rsid w:val="398771AB"/>
    <w:rsid w:val="39A41CBD"/>
    <w:rsid w:val="3A497AC3"/>
    <w:rsid w:val="3ABC7211"/>
    <w:rsid w:val="3B414819"/>
    <w:rsid w:val="3BA0303B"/>
    <w:rsid w:val="3BB61F75"/>
    <w:rsid w:val="3BC24FBB"/>
    <w:rsid w:val="3BE94BCA"/>
    <w:rsid w:val="3C136A67"/>
    <w:rsid w:val="3C7C76FE"/>
    <w:rsid w:val="3C8E4A42"/>
    <w:rsid w:val="3CBD21FF"/>
    <w:rsid w:val="3CC10A72"/>
    <w:rsid w:val="3CFE2B6F"/>
    <w:rsid w:val="3D35649B"/>
    <w:rsid w:val="3D515C1A"/>
    <w:rsid w:val="3D5B09B1"/>
    <w:rsid w:val="3D621ACD"/>
    <w:rsid w:val="3D703B60"/>
    <w:rsid w:val="3DB1785D"/>
    <w:rsid w:val="3DDC622F"/>
    <w:rsid w:val="3E286249"/>
    <w:rsid w:val="3EA07B80"/>
    <w:rsid w:val="3F581929"/>
    <w:rsid w:val="3FA87C92"/>
    <w:rsid w:val="3FE20415"/>
    <w:rsid w:val="3FF52C5E"/>
    <w:rsid w:val="4002148B"/>
    <w:rsid w:val="40312A02"/>
    <w:rsid w:val="40A6629A"/>
    <w:rsid w:val="40B54CCE"/>
    <w:rsid w:val="40E5458D"/>
    <w:rsid w:val="41594CFE"/>
    <w:rsid w:val="41B82FCE"/>
    <w:rsid w:val="42052268"/>
    <w:rsid w:val="423F6D4E"/>
    <w:rsid w:val="424E411D"/>
    <w:rsid w:val="425372F2"/>
    <w:rsid w:val="42594A9A"/>
    <w:rsid w:val="42757961"/>
    <w:rsid w:val="42770766"/>
    <w:rsid w:val="42987BA1"/>
    <w:rsid w:val="42CC15A2"/>
    <w:rsid w:val="42E5215B"/>
    <w:rsid w:val="4304145F"/>
    <w:rsid w:val="430813E7"/>
    <w:rsid w:val="43146F3C"/>
    <w:rsid w:val="43162B4A"/>
    <w:rsid w:val="432E32E5"/>
    <w:rsid w:val="432E72BB"/>
    <w:rsid w:val="43370E27"/>
    <w:rsid w:val="43B40C6B"/>
    <w:rsid w:val="43C25721"/>
    <w:rsid w:val="43CD7E5D"/>
    <w:rsid w:val="43EC7CF2"/>
    <w:rsid w:val="441229B0"/>
    <w:rsid w:val="44D455E5"/>
    <w:rsid w:val="44FC5130"/>
    <w:rsid w:val="45065C5D"/>
    <w:rsid w:val="45107186"/>
    <w:rsid w:val="45282249"/>
    <w:rsid w:val="4578585E"/>
    <w:rsid w:val="459676BF"/>
    <w:rsid w:val="4626722B"/>
    <w:rsid w:val="46546CBF"/>
    <w:rsid w:val="46D025A5"/>
    <w:rsid w:val="471277A4"/>
    <w:rsid w:val="474526A8"/>
    <w:rsid w:val="475B4248"/>
    <w:rsid w:val="4818654C"/>
    <w:rsid w:val="488D2EE7"/>
    <w:rsid w:val="48A45867"/>
    <w:rsid w:val="49A97E02"/>
    <w:rsid w:val="49AC2748"/>
    <w:rsid w:val="49C84F30"/>
    <w:rsid w:val="4A4252AB"/>
    <w:rsid w:val="4A470F55"/>
    <w:rsid w:val="4AA124F8"/>
    <w:rsid w:val="4ABD6FC1"/>
    <w:rsid w:val="4AE93615"/>
    <w:rsid w:val="4B427451"/>
    <w:rsid w:val="4BA17408"/>
    <w:rsid w:val="4BA27233"/>
    <w:rsid w:val="4BC36B86"/>
    <w:rsid w:val="4BDF2689"/>
    <w:rsid w:val="4CAA3899"/>
    <w:rsid w:val="4D205530"/>
    <w:rsid w:val="4D7F4B90"/>
    <w:rsid w:val="4E0F255A"/>
    <w:rsid w:val="4E174855"/>
    <w:rsid w:val="4E533EAE"/>
    <w:rsid w:val="4E856ECE"/>
    <w:rsid w:val="4EA431FC"/>
    <w:rsid w:val="4F197EF0"/>
    <w:rsid w:val="4F1F0115"/>
    <w:rsid w:val="4F3A7AC1"/>
    <w:rsid w:val="4F5279AE"/>
    <w:rsid w:val="4F7C56D5"/>
    <w:rsid w:val="4F9640FE"/>
    <w:rsid w:val="4FB07473"/>
    <w:rsid w:val="4FD4653B"/>
    <w:rsid w:val="4FD47312"/>
    <w:rsid w:val="50013071"/>
    <w:rsid w:val="50914311"/>
    <w:rsid w:val="50F3611A"/>
    <w:rsid w:val="514F6E95"/>
    <w:rsid w:val="516942BB"/>
    <w:rsid w:val="51EA5038"/>
    <w:rsid w:val="51EC35AD"/>
    <w:rsid w:val="52510937"/>
    <w:rsid w:val="527750A0"/>
    <w:rsid w:val="52D60329"/>
    <w:rsid w:val="52D71F0F"/>
    <w:rsid w:val="530F5C6C"/>
    <w:rsid w:val="53234548"/>
    <w:rsid w:val="532C3534"/>
    <w:rsid w:val="53DC261D"/>
    <w:rsid w:val="541C3F61"/>
    <w:rsid w:val="54410A42"/>
    <w:rsid w:val="545B25DF"/>
    <w:rsid w:val="54AC4E53"/>
    <w:rsid w:val="54DB64A0"/>
    <w:rsid w:val="54E07654"/>
    <w:rsid w:val="550079F3"/>
    <w:rsid w:val="55263640"/>
    <w:rsid w:val="55784D56"/>
    <w:rsid w:val="558B74E0"/>
    <w:rsid w:val="55FE23EB"/>
    <w:rsid w:val="56861EA4"/>
    <w:rsid w:val="57092099"/>
    <w:rsid w:val="5715576A"/>
    <w:rsid w:val="573A412E"/>
    <w:rsid w:val="57637A9F"/>
    <w:rsid w:val="57B263CF"/>
    <w:rsid w:val="57ED1AE9"/>
    <w:rsid w:val="582707C1"/>
    <w:rsid w:val="58772917"/>
    <w:rsid w:val="59330F51"/>
    <w:rsid w:val="595A5D80"/>
    <w:rsid w:val="595E1E53"/>
    <w:rsid w:val="59D23C9B"/>
    <w:rsid w:val="59FA7B81"/>
    <w:rsid w:val="5A643B3A"/>
    <w:rsid w:val="5A944924"/>
    <w:rsid w:val="5ADD0A44"/>
    <w:rsid w:val="5B4B0D2D"/>
    <w:rsid w:val="5BB13096"/>
    <w:rsid w:val="5BBA3243"/>
    <w:rsid w:val="5BC465D8"/>
    <w:rsid w:val="5C5C13C6"/>
    <w:rsid w:val="5CF95D1A"/>
    <w:rsid w:val="5D5256CF"/>
    <w:rsid w:val="5D6A6189"/>
    <w:rsid w:val="5D83707E"/>
    <w:rsid w:val="5D9C382E"/>
    <w:rsid w:val="5D9C5CCC"/>
    <w:rsid w:val="5DDF52D2"/>
    <w:rsid w:val="5E2971EE"/>
    <w:rsid w:val="5E2E4B08"/>
    <w:rsid w:val="5E5C56F2"/>
    <w:rsid w:val="5E7352FA"/>
    <w:rsid w:val="5EA60C75"/>
    <w:rsid w:val="5F37227B"/>
    <w:rsid w:val="5F8D027E"/>
    <w:rsid w:val="5FB05A92"/>
    <w:rsid w:val="5FE03497"/>
    <w:rsid w:val="605A371E"/>
    <w:rsid w:val="607E1169"/>
    <w:rsid w:val="60B45ACC"/>
    <w:rsid w:val="60BB5799"/>
    <w:rsid w:val="60F94ECE"/>
    <w:rsid w:val="610F1C0F"/>
    <w:rsid w:val="61191680"/>
    <w:rsid w:val="612269F3"/>
    <w:rsid w:val="6131647D"/>
    <w:rsid w:val="61382C74"/>
    <w:rsid w:val="614E5737"/>
    <w:rsid w:val="61854E27"/>
    <w:rsid w:val="61C250D4"/>
    <w:rsid w:val="61C5537E"/>
    <w:rsid w:val="61CE1196"/>
    <w:rsid w:val="61FB7A2D"/>
    <w:rsid w:val="6213264D"/>
    <w:rsid w:val="62640EC0"/>
    <w:rsid w:val="629415CE"/>
    <w:rsid w:val="62C523AF"/>
    <w:rsid w:val="62DE6962"/>
    <w:rsid w:val="632441AD"/>
    <w:rsid w:val="638C2A0E"/>
    <w:rsid w:val="63D01195"/>
    <w:rsid w:val="64676E09"/>
    <w:rsid w:val="6470714F"/>
    <w:rsid w:val="6481052D"/>
    <w:rsid w:val="64B01A8D"/>
    <w:rsid w:val="64E24A82"/>
    <w:rsid w:val="64E60C97"/>
    <w:rsid w:val="650505F2"/>
    <w:rsid w:val="650C3FFE"/>
    <w:rsid w:val="6531350C"/>
    <w:rsid w:val="65AB42B9"/>
    <w:rsid w:val="65AB6082"/>
    <w:rsid w:val="65C36ECD"/>
    <w:rsid w:val="65FE3684"/>
    <w:rsid w:val="667F5867"/>
    <w:rsid w:val="66E70F07"/>
    <w:rsid w:val="67745E80"/>
    <w:rsid w:val="67983756"/>
    <w:rsid w:val="679B2723"/>
    <w:rsid w:val="67FC177B"/>
    <w:rsid w:val="68687370"/>
    <w:rsid w:val="6892338F"/>
    <w:rsid w:val="68AC15E9"/>
    <w:rsid w:val="693A6D22"/>
    <w:rsid w:val="69CB7666"/>
    <w:rsid w:val="69D01953"/>
    <w:rsid w:val="69E708B2"/>
    <w:rsid w:val="6A0C5217"/>
    <w:rsid w:val="6A455AA2"/>
    <w:rsid w:val="6A65071A"/>
    <w:rsid w:val="6A947CFA"/>
    <w:rsid w:val="6AAA6671"/>
    <w:rsid w:val="6ADB6A71"/>
    <w:rsid w:val="6B4B213A"/>
    <w:rsid w:val="6BA2372C"/>
    <w:rsid w:val="6BD15A6B"/>
    <w:rsid w:val="6BE33C93"/>
    <w:rsid w:val="6BE35C59"/>
    <w:rsid w:val="6BEE5386"/>
    <w:rsid w:val="6C017BF5"/>
    <w:rsid w:val="6C7B33D6"/>
    <w:rsid w:val="6CD05ECD"/>
    <w:rsid w:val="6CE413B3"/>
    <w:rsid w:val="6D435139"/>
    <w:rsid w:val="6D4F0C11"/>
    <w:rsid w:val="6D634328"/>
    <w:rsid w:val="6D850ADB"/>
    <w:rsid w:val="6DAF09C9"/>
    <w:rsid w:val="6DC5259C"/>
    <w:rsid w:val="6DD74238"/>
    <w:rsid w:val="6E115343"/>
    <w:rsid w:val="6E1C1721"/>
    <w:rsid w:val="6E2535DE"/>
    <w:rsid w:val="6E2A1D1E"/>
    <w:rsid w:val="6E33355A"/>
    <w:rsid w:val="6EAE21AC"/>
    <w:rsid w:val="6EED0C19"/>
    <w:rsid w:val="6F405C75"/>
    <w:rsid w:val="6F6F76A3"/>
    <w:rsid w:val="700739B0"/>
    <w:rsid w:val="700F25EC"/>
    <w:rsid w:val="701212F1"/>
    <w:rsid w:val="704852CE"/>
    <w:rsid w:val="704F1524"/>
    <w:rsid w:val="705E3281"/>
    <w:rsid w:val="706657A6"/>
    <w:rsid w:val="709E44D4"/>
    <w:rsid w:val="70C85882"/>
    <w:rsid w:val="70D764C9"/>
    <w:rsid w:val="70ED6824"/>
    <w:rsid w:val="714462A0"/>
    <w:rsid w:val="71BC794B"/>
    <w:rsid w:val="71CB70E4"/>
    <w:rsid w:val="71D926B6"/>
    <w:rsid w:val="71EA1D2A"/>
    <w:rsid w:val="722A1EAF"/>
    <w:rsid w:val="72D31AEE"/>
    <w:rsid w:val="72F45B37"/>
    <w:rsid w:val="72F45C77"/>
    <w:rsid w:val="731C1F0F"/>
    <w:rsid w:val="73245145"/>
    <w:rsid w:val="733946A3"/>
    <w:rsid w:val="735E6539"/>
    <w:rsid w:val="73605D93"/>
    <w:rsid w:val="738D420E"/>
    <w:rsid w:val="73B66697"/>
    <w:rsid w:val="73C0731F"/>
    <w:rsid w:val="73EE14A3"/>
    <w:rsid w:val="73F45B1C"/>
    <w:rsid w:val="74626015"/>
    <w:rsid w:val="7469476B"/>
    <w:rsid w:val="74834A16"/>
    <w:rsid w:val="74A27A8C"/>
    <w:rsid w:val="74A96BE1"/>
    <w:rsid w:val="754B3452"/>
    <w:rsid w:val="75A30F9C"/>
    <w:rsid w:val="75BD6EC0"/>
    <w:rsid w:val="760343FD"/>
    <w:rsid w:val="763C71D7"/>
    <w:rsid w:val="76D5066E"/>
    <w:rsid w:val="77225383"/>
    <w:rsid w:val="773A7CF9"/>
    <w:rsid w:val="77822BA7"/>
    <w:rsid w:val="77BA4410"/>
    <w:rsid w:val="781B5AB6"/>
    <w:rsid w:val="786C2A28"/>
    <w:rsid w:val="78C65800"/>
    <w:rsid w:val="791D2179"/>
    <w:rsid w:val="793C053E"/>
    <w:rsid w:val="79AB24CA"/>
    <w:rsid w:val="79B57121"/>
    <w:rsid w:val="7A132B89"/>
    <w:rsid w:val="7A14314A"/>
    <w:rsid w:val="7A5E6453"/>
    <w:rsid w:val="7A6C07F7"/>
    <w:rsid w:val="7A79734C"/>
    <w:rsid w:val="7AA03951"/>
    <w:rsid w:val="7ADB3011"/>
    <w:rsid w:val="7B067D1E"/>
    <w:rsid w:val="7B2210A2"/>
    <w:rsid w:val="7B685762"/>
    <w:rsid w:val="7B8D50B2"/>
    <w:rsid w:val="7B9C6660"/>
    <w:rsid w:val="7B9E02A6"/>
    <w:rsid w:val="7BA475D0"/>
    <w:rsid w:val="7C235B18"/>
    <w:rsid w:val="7C7E05AA"/>
    <w:rsid w:val="7C9C12F7"/>
    <w:rsid w:val="7CE546A4"/>
    <w:rsid w:val="7CF23ACB"/>
    <w:rsid w:val="7D065772"/>
    <w:rsid w:val="7D1C1774"/>
    <w:rsid w:val="7D331208"/>
    <w:rsid w:val="7D385152"/>
    <w:rsid w:val="7D542E7E"/>
    <w:rsid w:val="7D8115C8"/>
    <w:rsid w:val="7D922924"/>
    <w:rsid w:val="7D9E6AD9"/>
    <w:rsid w:val="7E1A3650"/>
    <w:rsid w:val="7EC30CA5"/>
    <w:rsid w:val="7ECD7CC9"/>
    <w:rsid w:val="7FC6572B"/>
    <w:rsid w:val="7FD94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ody Text Indent 2"/>
    <w:basedOn w:val="1"/>
    <w:qFormat/>
    <w:uiPriority w:val="0"/>
    <w:pPr>
      <w:spacing w:line="420" w:lineRule="exact"/>
      <w:ind w:firstLine="480" w:firstLineChars="200"/>
    </w:pPr>
    <w:rPr>
      <w:rFonts w:ascii="宋体" w:hAnsi="宋体"/>
      <w:bCs/>
      <w:sz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Body Text First Indent 2"/>
    <w:basedOn w:val="3"/>
    <w:unhideWhenUsed/>
    <w:qFormat/>
    <w:uiPriority w:val="99"/>
    <w:pPr>
      <w:ind w:firstLine="420" w:firstLineChars="200"/>
    </w:pPr>
  </w:style>
  <w:style w:type="character" w:styleId="11">
    <w:name w:val="Hyperlink"/>
    <w:basedOn w:val="10"/>
    <w:semiHidden/>
    <w:unhideWhenUsed/>
    <w:uiPriority w:val="99"/>
    <w:rPr>
      <w:color w:val="0000FF"/>
      <w:u w:val="single"/>
    </w:rPr>
  </w:style>
  <w:style w:type="paragraph" w:customStyle="1" w:styleId="12">
    <w:name w:val="Table Paragraph"/>
    <w:basedOn w:val="1"/>
    <w:qFormat/>
    <w:uiPriority w:val="1"/>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99"/>
    <w:pPr>
      <w:ind w:left="544" w:firstLine="480"/>
    </w:pPr>
  </w:style>
  <w:style w:type="paragraph" w:customStyle="1" w:styleId="15">
    <w:name w:val="CM11"/>
    <w:basedOn w:val="16"/>
    <w:next w:val="16"/>
    <w:qFormat/>
    <w:uiPriority w:val="99"/>
    <w:pPr>
      <w:spacing w:line="546" w:lineRule="atLeast"/>
    </w:pPr>
    <w:rPr>
      <w:rFonts w:cs="Times New Roman"/>
      <w:color w:val="auto"/>
    </w:rPr>
  </w:style>
  <w:style w:type="paragraph" w:customStyle="1" w:styleId="16">
    <w:name w:val="Default"/>
    <w:qFormat/>
    <w:uiPriority w:val="0"/>
    <w:pPr>
      <w:widowControl w:val="0"/>
      <w:autoSpaceDE w:val="0"/>
      <w:autoSpaceDN w:val="0"/>
      <w:adjustRightInd w:val="0"/>
    </w:pPr>
    <w:rPr>
      <w:rFonts w:ascii="Sim Hei" w:hAnsi="Times New Roman" w:eastAsia="Sim Hei" w:cs="Sim Hei"/>
      <w:color w:val="000000"/>
      <w:sz w:val="24"/>
      <w:szCs w:val="24"/>
      <w:lang w:val="en-US" w:eastAsia="zh-CN" w:bidi="ar-SA"/>
    </w:rPr>
  </w:style>
  <w:style w:type="paragraph" w:customStyle="1" w:styleId="17">
    <w:name w:val="2级标题"/>
    <w:basedOn w:val="1"/>
    <w:qFormat/>
    <w:uiPriority w:val="0"/>
    <w:pPr>
      <w:spacing w:line="480" w:lineRule="exact"/>
      <w:ind w:firstLine="482" w:firstLineChars="200"/>
    </w:pPr>
    <w:rPr>
      <w:rFonts w:ascii="宋体" w:hAnsi="宋体"/>
      <w:b/>
      <w:bCs/>
      <w:color w:val="000000"/>
      <w:sz w:val="24"/>
    </w:rPr>
  </w:style>
  <w:style w:type="paragraph" w:customStyle="1" w:styleId="18">
    <w:name w:val="纯文本1"/>
    <w:basedOn w:val="1"/>
    <w:qFormat/>
    <w:uiPriority w:val="0"/>
    <w:rPr>
      <w:rFonts w:ascii="宋体" w:hAnsi="Courier New" w:cs="Courier New"/>
      <w:szCs w:val="21"/>
    </w:rPr>
  </w:style>
  <w:style w:type="paragraph" w:customStyle="1" w:styleId="19">
    <w:name w:val="正文文本缩进 21"/>
    <w:basedOn w:val="1"/>
    <w:qFormat/>
    <w:uiPriority w:val="0"/>
    <w:pPr>
      <w:spacing w:line="420" w:lineRule="exact"/>
      <w:ind w:firstLine="480" w:firstLineChars="200"/>
    </w:pPr>
    <w:rPr>
      <w:rFonts w:ascii="宋体" w:hAnsi="宋体"/>
      <w:bCs/>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win7</cp:lastModifiedBy>
  <cp:lastPrinted>2019-12-17T03:25:00Z</cp:lastPrinted>
  <dcterms:modified xsi:type="dcterms:W3CDTF">2019-12-18T02:32:04Z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